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EA" w:rsidRPr="005876EA" w:rsidRDefault="00A61B71" w:rsidP="005876EA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u w:val="single"/>
          <w:lang w:val="en-US"/>
        </w:rPr>
        <w:t xml:space="preserve">        </w:t>
      </w:r>
      <w:r w:rsidR="005876EA" w:rsidRPr="005876EA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 wp14:anchorId="548C646B" wp14:editId="28F547CC">
            <wp:extent cx="828675" cy="600075"/>
            <wp:effectExtent l="0" t="0" r="9525" b="952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6EA" w:rsidRPr="005876EA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val="en-US"/>
        </w:rPr>
        <w:t xml:space="preserve">           </w:t>
      </w:r>
      <w:r w:rsidR="005876EA" w:rsidRPr="005876EA">
        <w:rPr>
          <w:rFonts w:ascii="Times New Roman" w:eastAsia="Times New Roman" w:hAnsi="Times New Roman" w:cs="Times New Roman"/>
          <w:i/>
          <w:noProof/>
          <w:sz w:val="20"/>
          <w:szCs w:val="20"/>
          <w:lang w:eastAsia="bg-BG"/>
        </w:rPr>
        <w:drawing>
          <wp:inline distT="0" distB="0" distL="0" distR="0" wp14:anchorId="64D0184D" wp14:editId="1E412ED9">
            <wp:extent cx="762000" cy="581025"/>
            <wp:effectExtent l="19050" t="19050" r="19050" b="2857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10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876EA" w:rsidRPr="005876EA">
        <w:rPr>
          <w:rFonts w:ascii="Times New Roman" w:eastAsia="Times New Roman" w:hAnsi="Times New Roman" w:cs="Times New Roman"/>
          <w:i/>
          <w:noProof/>
          <w:sz w:val="20"/>
          <w:szCs w:val="20"/>
          <w:u w:val="single"/>
          <w:lang w:val="en-US"/>
        </w:rPr>
        <w:t xml:space="preserve">   </w:t>
      </w:r>
      <w:r w:rsidR="005876EA" w:rsidRPr="005876EA">
        <w:rPr>
          <w:rFonts w:ascii="Times New Roman" w:eastAsia="Times New Roman" w:hAnsi="Times New Roman" w:cs="Times New Roman"/>
          <w:i/>
          <w:noProof/>
          <w:sz w:val="20"/>
          <w:szCs w:val="20"/>
          <w:u w:val="single"/>
          <w:lang w:val="ru-RU"/>
        </w:rPr>
        <w:t xml:space="preserve">        </w:t>
      </w:r>
      <w:r w:rsidR="005876EA" w:rsidRPr="005876EA">
        <w:rPr>
          <w:rFonts w:ascii="Times New Roman" w:eastAsia="Times New Roman" w:hAnsi="Times New Roman" w:cs="Times New Roman"/>
          <w:i/>
          <w:noProof/>
          <w:sz w:val="20"/>
          <w:szCs w:val="20"/>
          <w:lang w:eastAsia="bg-BG"/>
        </w:rPr>
        <w:drawing>
          <wp:inline distT="0" distB="0" distL="0" distR="0" wp14:anchorId="45AEEB63" wp14:editId="6289036A">
            <wp:extent cx="485775" cy="590550"/>
            <wp:effectExtent l="19050" t="19050" r="28575" b="19050"/>
            <wp:docPr id="3" name="Картина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31859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876EA" w:rsidRPr="005876EA">
        <w:rPr>
          <w:rFonts w:ascii="Times New Roman" w:eastAsia="Times New Roman" w:hAnsi="Times New Roman" w:cs="Times New Roman"/>
          <w:i/>
          <w:noProof/>
          <w:sz w:val="20"/>
          <w:szCs w:val="20"/>
          <w:u w:val="single"/>
          <w:lang w:val="en-US"/>
        </w:rPr>
        <w:t xml:space="preserve">    </w:t>
      </w:r>
      <w:r w:rsidR="005876EA" w:rsidRPr="005876EA">
        <w:rPr>
          <w:rFonts w:ascii="Times New Roman" w:eastAsia="Times New Roman" w:hAnsi="Times New Roman" w:cs="Times New Roman"/>
          <w:i/>
          <w:noProof/>
          <w:sz w:val="20"/>
          <w:szCs w:val="20"/>
          <w:u w:val="single"/>
          <w:lang w:val="ru-RU"/>
        </w:rPr>
        <w:t xml:space="preserve"> </w:t>
      </w:r>
      <w:r w:rsidR="005876EA" w:rsidRPr="005876EA">
        <w:rPr>
          <w:rFonts w:ascii="Times New Roman" w:eastAsia="Times New Roman" w:hAnsi="Times New Roman" w:cs="Times New Roman"/>
          <w:i/>
          <w:noProof/>
          <w:sz w:val="20"/>
          <w:szCs w:val="20"/>
          <w:u w:val="single"/>
          <w:lang w:val="en-US"/>
        </w:rPr>
        <w:t xml:space="preserve">     </w:t>
      </w:r>
      <w:r w:rsidR="005876EA" w:rsidRPr="005876EA">
        <w:rPr>
          <w:rFonts w:ascii="Times New Roman" w:eastAsia="Times New Roman" w:hAnsi="Times New Roman" w:cs="Times New Roman"/>
          <w:i/>
          <w:noProof/>
          <w:sz w:val="20"/>
          <w:szCs w:val="20"/>
          <w:u w:val="single"/>
          <w:lang w:val="ru-RU"/>
        </w:rPr>
        <w:t xml:space="preserve"> </w:t>
      </w:r>
      <w:r w:rsidR="005876EA" w:rsidRPr="005876EA">
        <w:rPr>
          <w:rFonts w:ascii="Times New Roman" w:eastAsia="Times New Roman" w:hAnsi="Times New Roman" w:cs="Times New Roman"/>
          <w:i/>
          <w:noProof/>
          <w:sz w:val="20"/>
          <w:szCs w:val="20"/>
          <w:lang w:eastAsia="bg-BG"/>
        </w:rPr>
        <w:drawing>
          <wp:inline distT="0" distB="0" distL="0" distR="0" wp14:anchorId="3D54DA2A" wp14:editId="7B42633B">
            <wp:extent cx="1362075" cy="571500"/>
            <wp:effectExtent l="19050" t="19050" r="28575" b="1905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15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876EA" w:rsidRPr="005876EA">
        <w:rPr>
          <w:rFonts w:ascii="Times New Roman" w:eastAsia="Times New Roman" w:hAnsi="Times New Roman" w:cs="Times New Roman"/>
          <w:i/>
          <w:noProof/>
          <w:sz w:val="20"/>
          <w:szCs w:val="20"/>
          <w:u w:val="single"/>
          <w:lang w:val="ru-RU"/>
        </w:rPr>
        <w:t xml:space="preserve">  </w:t>
      </w:r>
      <w:r w:rsidR="005876EA" w:rsidRPr="005876EA">
        <w:rPr>
          <w:rFonts w:ascii="Times New Roman" w:eastAsia="Times New Roman" w:hAnsi="Times New Roman" w:cs="Times New Roman"/>
          <w:i/>
          <w:noProof/>
          <w:sz w:val="20"/>
          <w:szCs w:val="20"/>
          <w:u w:val="single"/>
          <w:lang w:val="en-US"/>
        </w:rPr>
        <w:t xml:space="preserve">    </w:t>
      </w:r>
      <w:r w:rsidR="005876EA" w:rsidRPr="005876EA">
        <w:rPr>
          <w:rFonts w:ascii="Times New Roman" w:eastAsia="Times New Roman" w:hAnsi="Times New Roman" w:cs="Times New Roman"/>
          <w:i/>
          <w:noProof/>
          <w:sz w:val="20"/>
          <w:szCs w:val="20"/>
          <w:u w:val="single"/>
          <w:lang w:val="ru-RU"/>
        </w:rPr>
        <w:t xml:space="preserve"> </w:t>
      </w:r>
      <w:r w:rsidR="005876EA" w:rsidRPr="005876EA">
        <w:rPr>
          <w:rFonts w:ascii="Times New Roman" w:eastAsia="Times New Roman" w:hAnsi="Times New Roman" w:cs="Times New Roman"/>
          <w:i/>
          <w:noProof/>
          <w:sz w:val="20"/>
          <w:szCs w:val="20"/>
          <w:u w:val="single"/>
          <w:lang w:val="en-US"/>
        </w:rPr>
        <w:t xml:space="preserve"> </w:t>
      </w:r>
      <w:r w:rsidR="005876EA" w:rsidRPr="005876EA">
        <w:rPr>
          <w:rFonts w:ascii="Times New Roman" w:eastAsia="Times New Roman" w:hAnsi="Times New Roman" w:cs="Times New Roman"/>
          <w:i/>
          <w:noProof/>
          <w:sz w:val="20"/>
          <w:szCs w:val="20"/>
          <w:u w:val="single"/>
          <w:lang w:val="ru-RU"/>
        </w:rPr>
        <w:t xml:space="preserve">   </w:t>
      </w:r>
      <w:r w:rsidR="005876EA" w:rsidRPr="005876EA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 wp14:anchorId="3CE5D6CE" wp14:editId="586E66CA">
            <wp:extent cx="800100" cy="590550"/>
            <wp:effectExtent l="19050" t="19050" r="19050" b="1905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905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876EA" w:rsidRPr="005876EA" w:rsidRDefault="005876EA" w:rsidP="005876EA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876EA">
        <w:rPr>
          <w:rFonts w:ascii="Times New Roman" w:eastAsia="Times New Roman" w:hAnsi="Times New Roman" w:cs="Times New Roman"/>
          <w:sz w:val="20"/>
          <w:szCs w:val="20"/>
        </w:rPr>
        <w:t>„Европейски земеделски фонд за развитие на селските райони – Европа инвестира в селските райони”</w:t>
      </w:r>
    </w:p>
    <w:p w:rsidR="005876EA" w:rsidRPr="005876EA" w:rsidRDefault="005876EA" w:rsidP="005876EA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76EA">
        <w:rPr>
          <w:rFonts w:ascii="Times New Roman" w:eastAsia="Times New Roman" w:hAnsi="Times New Roman" w:cs="Times New Roman"/>
          <w:b/>
          <w:sz w:val="20"/>
          <w:szCs w:val="20"/>
        </w:rPr>
        <w:t>ПРОГРАМА ЗА РАЗВИТИЕ НА СЕЛСКИТЕ РАЙОНИ 2014 – 2020 г.</w:t>
      </w:r>
    </w:p>
    <w:p w:rsidR="005876EA" w:rsidRPr="005876EA" w:rsidRDefault="005876EA" w:rsidP="00587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3"/>
          <w:sz w:val="16"/>
          <w:szCs w:val="16"/>
          <w:lang w:eastAsia="bg-BG"/>
        </w:rPr>
      </w:pPr>
      <w:r w:rsidRPr="005876EA">
        <w:rPr>
          <w:rFonts w:ascii="Times New Roman" w:eastAsia="Times New Roman" w:hAnsi="Times New Roman" w:cs="Times New Roman"/>
          <w:b/>
          <w:iCs/>
          <w:color w:val="000000"/>
          <w:spacing w:val="3"/>
          <w:sz w:val="16"/>
          <w:szCs w:val="16"/>
          <w:lang w:eastAsia="bg-BG"/>
        </w:rPr>
        <w:t xml:space="preserve">Сдружение „МИГ Брезово, Братя Даскалови” </w:t>
      </w:r>
    </w:p>
    <w:p w:rsidR="005876EA" w:rsidRPr="005876EA" w:rsidRDefault="005876EA" w:rsidP="00587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3"/>
          <w:sz w:val="16"/>
          <w:szCs w:val="16"/>
          <w:lang w:eastAsia="bg-BG"/>
        </w:rPr>
      </w:pPr>
      <w:r w:rsidRPr="005876EA">
        <w:rPr>
          <w:rFonts w:ascii="Times New Roman" w:eastAsia="Times New Roman" w:hAnsi="Times New Roman" w:cs="Times New Roman"/>
          <w:b/>
          <w:iCs/>
          <w:color w:val="000000"/>
          <w:spacing w:val="3"/>
          <w:sz w:val="16"/>
          <w:szCs w:val="16"/>
          <w:lang w:eastAsia="bg-BG"/>
        </w:rPr>
        <w:t>Споразумение за изпълнение на СВОМР №РД50-138/21.10.2016 Г.</w:t>
      </w:r>
    </w:p>
    <w:p w:rsidR="00A70C69" w:rsidRDefault="00A70C69" w:rsidP="00382B54">
      <w:pPr>
        <w:rPr>
          <w:rFonts w:ascii="Times New Roman" w:hAnsi="Times New Roman" w:cs="Times New Roman"/>
          <w:b/>
          <w:sz w:val="28"/>
          <w:szCs w:val="28"/>
        </w:rPr>
      </w:pPr>
    </w:p>
    <w:p w:rsidR="00CF1127" w:rsidRDefault="00CF1127" w:rsidP="00CF1127">
      <w:pPr>
        <w:rPr>
          <w:rFonts w:ascii="Times New Roman" w:hAnsi="Times New Roman" w:cs="Times New Roman"/>
          <w:b/>
          <w:sz w:val="28"/>
          <w:szCs w:val="28"/>
        </w:rPr>
      </w:pPr>
      <w:r w:rsidRPr="00382B54">
        <w:rPr>
          <w:rFonts w:ascii="Times New Roman" w:hAnsi="Times New Roman" w:cs="Times New Roman"/>
          <w:b/>
          <w:sz w:val="28"/>
          <w:szCs w:val="28"/>
        </w:rPr>
        <w:t>ПРОЕКТ!</w:t>
      </w:r>
    </w:p>
    <w:p w:rsidR="00CF1127" w:rsidRPr="00382B54" w:rsidRDefault="00CF1127" w:rsidP="00CF1127">
      <w:pPr>
        <w:rPr>
          <w:rFonts w:ascii="Times New Roman" w:hAnsi="Times New Roman" w:cs="Times New Roman"/>
          <w:b/>
          <w:sz w:val="28"/>
          <w:szCs w:val="28"/>
        </w:rPr>
      </w:pPr>
    </w:p>
    <w:p w:rsidR="00CF1127" w:rsidRPr="00CF1127" w:rsidRDefault="00CF1127" w:rsidP="00CF1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127">
        <w:rPr>
          <w:rFonts w:ascii="Times New Roman" w:hAnsi="Times New Roman" w:cs="Times New Roman"/>
          <w:b/>
          <w:sz w:val="24"/>
          <w:szCs w:val="24"/>
        </w:rPr>
        <w:t xml:space="preserve">ПРОЕКТ ЗА ИЗМЕНЕНИЕ И ДОПЪЛНЕНИЕ НА СТРАТЕГИЯТА ЗА ВОДЕНО ОТ ОБЩНОСТИТЕ МЕСТНО РАЗВИТИЕ </w:t>
      </w:r>
    </w:p>
    <w:p w:rsidR="00CF1127" w:rsidRPr="00CF1127" w:rsidRDefault="00CF1127" w:rsidP="00CF112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1127">
        <w:rPr>
          <w:rFonts w:ascii="Times New Roman" w:hAnsi="Times New Roman" w:cs="Times New Roman"/>
          <w:b/>
          <w:sz w:val="24"/>
          <w:szCs w:val="24"/>
        </w:rPr>
        <w:t>НА СДРУЖЕНИЕ „МИГ БРЕЗОВО, БРАТЯ ДАСКАЛОВИ“</w:t>
      </w:r>
    </w:p>
    <w:p w:rsidR="00CF1127" w:rsidRPr="00CF1127" w:rsidRDefault="00CF1127" w:rsidP="00CF1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127">
        <w:rPr>
          <w:rFonts w:ascii="Times New Roman" w:hAnsi="Times New Roman" w:cs="Times New Roman"/>
          <w:b/>
          <w:sz w:val="24"/>
          <w:szCs w:val="24"/>
        </w:rPr>
        <w:t>ОБЩЕСТВЕНО ОБСЪЖДАНЕ</w:t>
      </w:r>
    </w:p>
    <w:p w:rsidR="00CF1127" w:rsidRPr="00CF1127" w:rsidRDefault="00CF1127" w:rsidP="00CF112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127">
        <w:rPr>
          <w:rFonts w:ascii="Times New Roman" w:hAnsi="Times New Roman" w:cs="Times New Roman"/>
          <w:sz w:val="24"/>
          <w:szCs w:val="24"/>
        </w:rPr>
        <w:t xml:space="preserve">Във връзка с изменение на Програмата за развитие на селските райони 2014-2020 г., с което се осигурява допълнително финансиране по подхода ВОМР за увеличаване бюджета на изпълняващите се стратегии с до 799 000 лв. по </w:t>
      </w:r>
      <w:proofErr w:type="spellStart"/>
      <w:r w:rsidRPr="00CF1127"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 w:rsidRPr="00CF1127">
        <w:rPr>
          <w:rFonts w:ascii="Times New Roman" w:hAnsi="Times New Roman" w:cs="Times New Roman"/>
          <w:sz w:val="24"/>
          <w:szCs w:val="24"/>
        </w:rPr>
        <w:t xml:space="preserve"> 19.2 „Прилагане на операции в рамките на стратегии за Водено от общностите местно развитие“ и с до 114 000 лв. по </w:t>
      </w:r>
      <w:proofErr w:type="spellStart"/>
      <w:r w:rsidRPr="00CF1127"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 w:rsidRPr="00CF1127">
        <w:rPr>
          <w:rFonts w:ascii="Times New Roman" w:hAnsi="Times New Roman" w:cs="Times New Roman"/>
          <w:sz w:val="24"/>
          <w:szCs w:val="24"/>
        </w:rPr>
        <w:t xml:space="preserve"> 19.4 „Текущи разходи и популяризиране на стратегии за ВОМР“, СНЦ  „МИГ Брезово, Братя Даскалови“ представя на вниманието на заинтересованите страни от територията на МИГ проект за изменение и допълнение на Стратегията за Водено от общностите местно развитие.</w:t>
      </w:r>
    </w:p>
    <w:p w:rsidR="00CF1127" w:rsidRDefault="00CF1127" w:rsidP="00CF112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127">
        <w:rPr>
          <w:rFonts w:ascii="Times New Roman" w:hAnsi="Times New Roman" w:cs="Times New Roman"/>
          <w:sz w:val="24"/>
          <w:szCs w:val="24"/>
        </w:rPr>
        <w:t xml:space="preserve">Всички заинтересовани страни имат възможност да отправят своите коментари и предложения относно планираните промени, в срок до 17:30 ч. на 19.05.2021 г., на електронна поща </w:t>
      </w:r>
      <w:hyperlink r:id="rId14" w:history="1">
        <w:r w:rsidRPr="00CF1127">
          <w:rPr>
            <w:rStyle w:val="Hyperlink"/>
            <w:rFonts w:ascii="Times New Roman" w:hAnsi="Times New Roman" w:cs="Times New Roman"/>
            <w:sz w:val="24"/>
            <w:szCs w:val="24"/>
          </w:rPr>
          <w:t>migb_bd@abv.bg</w:t>
        </w:r>
      </w:hyperlink>
      <w:r w:rsidRPr="00CF1127">
        <w:rPr>
          <w:rFonts w:ascii="Times New Roman" w:hAnsi="Times New Roman" w:cs="Times New Roman"/>
          <w:sz w:val="24"/>
          <w:szCs w:val="24"/>
        </w:rPr>
        <w:t xml:space="preserve"> или писмено, лично в офиса на СНЦ  „МИГ Брезово, Братя Даскалови“ на адрес гр. Брезово, ул. „Георги Димитров“ № 25.</w:t>
      </w:r>
    </w:p>
    <w:p w:rsidR="007219DE" w:rsidRPr="00382B54" w:rsidRDefault="007219DE" w:rsidP="00A61B71">
      <w:pPr>
        <w:rPr>
          <w:rFonts w:ascii="Times New Roman" w:hAnsi="Times New Roman" w:cs="Times New Roman"/>
          <w:b/>
          <w:sz w:val="28"/>
          <w:szCs w:val="28"/>
        </w:rPr>
      </w:pPr>
    </w:p>
    <w:p w:rsidR="00161297" w:rsidRPr="00581C2A" w:rsidRDefault="001D6CFC" w:rsidP="00B1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C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="00F911EE" w:rsidRPr="00F911EE">
        <w:rPr>
          <w:rFonts w:ascii="Times New Roman" w:hAnsi="Times New Roman" w:cs="Times New Roman"/>
          <w:b/>
          <w:sz w:val="24"/>
          <w:szCs w:val="24"/>
        </w:rPr>
        <w:t>В раздел 6. Финансов план, подраздел 6.1. Индикативно разпределение на средствата по програми/фондове и по мерки, Таблицата да се промени както следва:</w:t>
      </w:r>
    </w:p>
    <w:p w:rsidR="00F911EE" w:rsidRPr="00DB6D21" w:rsidRDefault="00F911EE" w:rsidP="00DB6D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009"/>
        <w:gridCol w:w="1276"/>
        <w:gridCol w:w="850"/>
        <w:gridCol w:w="1276"/>
        <w:gridCol w:w="850"/>
      </w:tblGrid>
      <w:tr w:rsidR="00DB6D21" w:rsidRPr="009B5524" w:rsidTr="00C42509">
        <w:trPr>
          <w:trHeight w:val="310"/>
        </w:trPr>
        <w:tc>
          <w:tcPr>
            <w:tcW w:w="10221" w:type="dxa"/>
            <w:gridSpan w:val="6"/>
            <w:shd w:val="clear" w:color="auto" w:fill="auto"/>
            <w:vAlign w:val="center"/>
            <w:hideMark/>
          </w:tcPr>
          <w:p w:rsidR="00DB6D21" w:rsidRPr="009B5524" w:rsidRDefault="00DB6D21" w:rsidP="00C4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  <w:p w:rsidR="00DB6D21" w:rsidRPr="009B5524" w:rsidRDefault="00DB6D21" w:rsidP="00C42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9B5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6.1. Индикативно разпределение на средствата по програми/фондове и по мерки:</w:t>
            </w:r>
          </w:p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B6D21" w:rsidRPr="009B5524" w:rsidTr="00C42509">
        <w:trPr>
          <w:trHeight w:val="310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DB6D21" w:rsidRPr="009B5524" w:rsidRDefault="00DB6D21" w:rsidP="00C4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2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Код на мярката</w:t>
            </w:r>
          </w:p>
        </w:tc>
        <w:tc>
          <w:tcPr>
            <w:tcW w:w="5009" w:type="dxa"/>
            <w:vMerge w:val="restart"/>
            <w:shd w:val="clear" w:color="auto" w:fill="auto"/>
            <w:vAlign w:val="center"/>
          </w:tcPr>
          <w:p w:rsidR="00DB6D21" w:rsidRPr="009B5524" w:rsidRDefault="00DB6D21" w:rsidP="00C42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D26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Име на мярката</w:t>
            </w:r>
          </w:p>
        </w:tc>
        <w:tc>
          <w:tcPr>
            <w:tcW w:w="2126" w:type="dxa"/>
            <w:gridSpan w:val="2"/>
            <w:shd w:val="clear" w:color="auto" w:fill="9BBB59" w:themeFill="accent3"/>
            <w:vAlign w:val="center"/>
          </w:tcPr>
          <w:p w:rsidR="00DB6D21" w:rsidRPr="00EB12BB" w:rsidRDefault="00DB6D21" w:rsidP="00C4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B12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БИЛО</w:t>
            </w:r>
          </w:p>
        </w:tc>
        <w:tc>
          <w:tcPr>
            <w:tcW w:w="2126" w:type="dxa"/>
            <w:gridSpan w:val="2"/>
            <w:shd w:val="clear" w:color="auto" w:fill="FFFF00"/>
            <w:vAlign w:val="center"/>
          </w:tcPr>
          <w:p w:rsidR="00DB6D21" w:rsidRPr="00EB12BB" w:rsidRDefault="00DB6D21" w:rsidP="00C4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B12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СТАВА</w:t>
            </w:r>
          </w:p>
        </w:tc>
      </w:tr>
      <w:tr w:rsidR="00DB6D21" w:rsidRPr="009B5524" w:rsidTr="00C42509">
        <w:trPr>
          <w:trHeight w:val="310"/>
        </w:trPr>
        <w:tc>
          <w:tcPr>
            <w:tcW w:w="960" w:type="dxa"/>
            <w:vMerge/>
            <w:shd w:val="clear" w:color="auto" w:fill="auto"/>
            <w:vAlign w:val="center"/>
          </w:tcPr>
          <w:p w:rsidR="00DB6D21" w:rsidRPr="009B5524" w:rsidRDefault="00DB6D21" w:rsidP="00C4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009" w:type="dxa"/>
            <w:vMerge/>
            <w:shd w:val="clear" w:color="auto" w:fill="auto"/>
            <w:vAlign w:val="center"/>
          </w:tcPr>
          <w:p w:rsidR="00DB6D21" w:rsidRPr="009B5524" w:rsidRDefault="00DB6D21" w:rsidP="00C42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DB6D21" w:rsidRPr="00EB12BB" w:rsidRDefault="00DB6D21" w:rsidP="00C425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12BB">
              <w:rPr>
                <w:rFonts w:ascii="Times New Roman" w:hAnsi="Times New Roman" w:cs="Times New Roman"/>
              </w:rPr>
              <w:t>Общо за периода на стратегията</w:t>
            </w:r>
          </w:p>
        </w:tc>
      </w:tr>
      <w:tr w:rsidR="00DB6D21" w:rsidRPr="009B5524" w:rsidTr="00C42509">
        <w:trPr>
          <w:trHeight w:val="310"/>
        </w:trPr>
        <w:tc>
          <w:tcPr>
            <w:tcW w:w="960" w:type="dxa"/>
            <w:vMerge/>
            <w:shd w:val="clear" w:color="auto" w:fill="auto"/>
            <w:vAlign w:val="center"/>
          </w:tcPr>
          <w:p w:rsidR="00DB6D21" w:rsidRPr="009B5524" w:rsidRDefault="00DB6D21" w:rsidP="00C4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009" w:type="dxa"/>
            <w:vMerge/>
            <w:shd w:val="clear" w:color="auto" w:fill="auto"/>
            <w:vAlign w:val="center"/>
          </w:tcPr>
          <w:p w:rsidR="00DB6D21" w:rsidRPr="009B5524" w:rsidRDefault="00DB6D21" w:rsidP="00C42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6D21" w:rsidRPr="00EB12BB" w:rsidRDefault="00DB6D21" w:rsidP="00C42509">
            <w:pPr>
              <w:jc w:val="center"/>
              <w:rPr>
                <w:rFonts w:ascii="Times New Roman" w:hAnsi="Times New Roman" w:cs="Times New Roman"/>
              </w:rPr>
            </w:pPr>
            <w:r w:rsidRPr="00EB12BB">
              <w:rPr>
                <w:rFonts w:ascii="Times New Roman" w:hAnsi="Times New Roman" w:cs="Times New Roman"/>
              </w:rPr>
              <w:t>лева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6D21" w:rsidRPr="00EB12BB" w:rsidRDefault="00DB6D21" w:rsidP="00C42509">
            <w:pPr>
              <w:jc w:val="center"/>
              <w:rPr>
                <w:rFonts w:ascii="Times New Roman" w:hAnsi="Times New Roman" w:cs="Times New Roman"/>
              </w:rPr>
            </w:pPr>
            <w:r w:rsidRPr="00EB12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D21" w:rsidRPr="00EB12BB" w:rsidRDefault="00DB6D21" w:rsidP="00C42509">
            <w:pPr>
              <w:jc w:val="center"/>
              <w:rPr>
                <w:rFonts w:ascii="Times New Roman" w:hAnsi="Times New Roman" w:cs="Times New Roman"/>
              </w:rPr>
            </w:pPr>
            <w:r w:rsidRPr="00EB12BB">
              <w:rPr>
                <w:rFonts w:ascii="Times New Roman" w:hAnsi="Times New Roman" w:cs="Times New Roman"/>
              </w:rPr>
              <w:t>лева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6D21" w:rsidRPr="00EB12BB" w:rsidRDefault="00DB6D21" w:rsidP="00C42509">
            <w:pPr>
              <w:jc w:val="center"/>
              <w:rPr>
                <w:rFonts w:ascii="Times New Roman" w:hAnsi="Times New Roman" w:cs="Times New Roman"/>
              </w:rPr>
            </w:pPr>
            <w:r w:rsidRPr="00EB12BB">
              <w:rPr>
                <w:rFonts w:ascii="Times New Roman" w:hAnsi="Times New Roman" w:cs="Times New Roman"/>
              </w:rPr>
              <w:t>%</w:t>
            </w:r>
          </w:p>
        </w:tc>
      </w:tr>
      <w:tr w:rsidR="00DB6D21" w:rsidRPr="009B5524" w:rsidTr="00C42509">
        <w:trPr>
          <w:trHeight w:val="310"/>
        </w:trPr>
        <w:tc>
          <w:tcPr>
            <w:tcW w:w="960" w:type="dxa"/>
            <w:shd w:val="clear" w:color="auto" w:fill="auto"/>
            <w:vAlign w:val="center"/>
          </w:tcPr>
          <w:p w:rsidR="00DB6D21" w:rsidRPr="009B5524" w:rsidRDefault="00DB6D21" w:rsidP="00C4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009" w:type="dxa"/>
            <w:shd w:val="clear" w:color="auto" w:fill="auto"/>
            <w:vAlign w:val="center"/>
          </w:tcPr>
          <w:p w:rsidR="00DB6D21" w:rsidRPr="009B5524" w:rsidRDefault="00DB6D21" w:rsidP="00C42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Мерки, финансирани от ПРСР 2014-2020 г. (ЕЗФРСР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2 933 700,00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B12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100%</w:t>
            </w:r>
            <w:r w:rsidRPr="00C470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3 732 700,00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 </w:t>
            </w:r>
            <w:r w:rsidRPr="00EB12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100%</w:t>
            </w:r>
          </w:p>
        </w:tc>
      </w:tr>
      <w:tr w:rsidR="00DB6D21" w:rsidRPr="00C470FE" w:rsidTr="00C42509">
        <w:trPr>
          <w:trHeight w:val="620"/>
        </w:trPr>
        <w:tc>
          <w:tcPr>
            <w:tcW w:w="960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4.1.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Подмярка 4.1"Инвестиции в земеделски стопанства" от мярка 4 "Инвестиции в материални активи" от ПРСР за периода 2014 - 2020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bg-BG"/>
              </w:rPr>
              <w:t>690 000,00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bg-BG"/>
              </w:rPr>
              <w:t>23,52%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bg-BG"/>
              </w:rPr>
              <w:t>1 089 500,00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bg-BG"/>
              </w:rPr>
              <w:t>29,19%</w:t>
            </w:r>
          </w:p>
        </w:tc>
      </w:tr>
      <w:tr w:rsidR="00DB6D21" w:rsidRPr="00C470FE" w:rsidTr="00C42509">
        <w:trPr>
          <w:trHeight w:val="620"/>
        </w:trPr>
        <w:tc>
          <w:tcPr>
            <w:tcW w:w="960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6.4.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Подмярка 6.4 „Инвестиционна подкрепа за неземеделски дейности“ от мярка 6 „Развитие на стопанства и предприятия“ от ПРСР за периода 2014 - 2020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1 110 000,00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37,84%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1 110 000,00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29,74%</w:t>
            </w:r>
          </w:p>
        </w:tc>
      </w:tr>
      <w:tr w:rsidR="00DB6D21" w:rsidRPr="00C470FE" w:rsidTr="00C42509">
        <w:trPr>
          <w:trHeight w:val="930"/>
        </w:trPr>
        <w:tc>
          <w:tcPr>
            <w:tcW w:w="960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7.2.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ПРСР за периода 2014 – 2020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bg-BG"/>
              </w:rPr>
              <w:t>778 000,00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bg-BG"/>
              </w:rPr>
              <w:t>26,52%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bg-BG"/>
              </w:rPr>
              <w:t>1 177 500,00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bg-BG"/>
              </w:rPr>
              <w:t>31,55%</w:t>
            </w:r>
          </w:p>
        </w:tc>
      </w:tr>
      <w:tr w:rsidR="00DB6D21" w:rsidRPr="00C470FE" w:rsidTr="00C42509">
        <w:trPr>
          <w:trHeight w:val="620"/>
        </w:trPr>
        <w:tc>
          <w:tcPr>
            <w:tcW w:w="960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7.5.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Подмярка 7.5. „Инвестиции за публично ползване в инфраструктура за отдих, туристическа информация и малка по мащаб туристическа инфраструктура” от мярка 7 на ПРСР 2014-2020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6,48%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5,09%</w:t>
            </w:r>
          </w:p>
        </w:tc>
      </w:tr>
      <w:tr w:rsidR="00DB6D21" w:rsidRPr="00C470FE" w:rsidTr="00C42509">
        <w:trPr>
          <w:trHeight w:val="620"/>
        </w:trPr>
        <w:tc>
          <w:tcPr>
            <w:tcW w:w="960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Мерки, които не са част от ПРСР 2014-2020 г. , но са включени в Регламент (EC) № 1305/2013 (финансирани от ЕЗФРСР)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B6D21" w:rsidRPr="00C470FE" w:rsidTr="00C42509">
        <w:trPr>
          <w:trHeight w:val="930"/>
        </w:trPr>
        <w:tc>
          <w:tcPr>
            <w:tcW w:w="960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7.4.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„Инвестиции в създаването, подобряването или разширяването на основни услуги на местно равнище за населението в селските райони, включително за отдих и културни дейности, както и на съответната инфраструктура” от мярка 7 на Регламент 1305/2013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4,09%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3,21%</w:t>
            </w:r>
          </w:p>
        </w:tc>
      </w:tr>
      <w:tr w:rsidR="00DB6D21" w:rsidRPr="00C470FE" w:rsidTr="00C42509">
        <w:trPr>
          <w:trHeight w:val="620"/>
        </w:trPr>
        <w:tc>
          <w:tcPr>
            <w:tcW w:w="960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Мерки, извън обхвата на мерките от Регламент (EC) № 1305/2013, но съответстващи на целите на регламента (финансирани от ЕЗФРСР)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B6D21" w:rsidRPr="00C470FE" w:rsidTr="00C42509">
        <w:trPr>
          <w:trHeight w:val="620"/>
        </w:trPr>
        <w:tc>
          <w:tcPr>
            <w:tcW w:w="960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„Съхраняване и развитие на местните идентичности и валоризиране на местното културно наследство на територията на МИГ Брезово, Братя Даскалови“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45 700,00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1,56%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45 700,00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1,22%</w:t>
            </w:r>
          </w:p>
        </w:tc>
      </w:tr>
      <w:tr w:rsidR="00DB6D21" w:rsidRPr="00C470FE" w:rsidTr="00C42509">
        <w:trPr>
          <w:trHeight w:val="290"/>
        </w:trPr>
        <w:tc>
          <w:tcPr>
            <w:tcW w:w="960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B6D21" w:rsidRPr="00C470FE" w:rsidTr="00C42509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 ЗА Проекти към Стратегията за ВМОР: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2 933 700,00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B12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100%</w:t>
            </w:r>
            <w:r w:rsidRPr="00C470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3 732 700,00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 </w:t>
            </w:r>
            <w:r w:rsidRPr="00EB12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100%</w:t>
            </w:r>
          </w:p>
        </w:tc>
      </w:tr>
      <w:tr w:rsidR="00DB6D21" w:rsidRPr="00C470FE" w:rsidTr="00C42509">
        <w:trPr>
          <w:trHeight w:val="290"/>
        </w:trPr>
        <w:tc>
          <w:tcPr>
            <w:tcW w:w="960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B6D21" w:rsidRPr="00C470FE" w:rsidTr="00C42509">
        <w:trPr>
          <w:trHeight w:val="930"/>
        </w:trPr>
        <w:tc>
          <w:tcPr>
            <w:tcW w:w="960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Текущи разходи и популяризиране на стратегия за водено от общностите местно развитие (25на сто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 xml:space="preserve"> от общите публични</w:t>
            </w:r>
            <w:r w:rsidRPr="00C470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 xml:space="preserve"> разходи от ЕЗФРСР, включващи разходите по подмярка 19.2 и подмярка 19.4)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bg-BG"/>
              </w:rPr>
              <w:t>977 400,00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bg-BG"/>
              </w:rPr>
              <w:t>24,99%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bg-BG"/>
              </w:rPr>
              <w:t>1 091 400,00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6D21" w:rsidRPr="00C470FE" w:rsidRDefault="00DB6D21" w:rsidP="00C42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C4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bg-BG"/>
              </w:rPr>
              <w:t>22,62%</w:t>
            </w:r>
          </w:p>
        </w:tc>
      </w:tr>
    </w:tbl>
    <w:p w:rsidR="00DB6D21" w:rsidRDefault="00DB6D21" w:rsidP="002717A8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</w:pPr>
    </w:p>
    <w:p w:rsidR="00926E18" w:rsidRPr="00926E18" w:rsidRDefault="00883C58" w:rsidP="00B536F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EFEFE"/>
        </w:rPr>
      </w:pPr>
      <w:r w:rsidRPr="00926E18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 xml:space="preserve">1. </w:t>
      </w:r>
      <w:r w:rsidR="00926E18" w:rsidRPr="00926E18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 xml:space="preserve">Планира се </w:t>
      </w:r>
      <w:r w:rsidR="00DB6D21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>50 % от допълнител</w:t>
      </w:r>
      <w:r w:rsidR="00036E1B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>н</w:t>
      </w:r>
      <w:r w:rsidR="00DB6D21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>ия</w:t>
      </w:r>
      <w:r w:rsidR="00036E1B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 xml:space="preserve"> финансов ресурс в размер на </w:t>
      </w:r>
      <w:r w:rsidR="00926E18" w:rsidRPr="00926E18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>399 500 лв. да бъдат насочени към подмярка 4.1.</w:t>
      </w:r>
      <w:r w:rsidR="00926E18" w:rsidRPr="00926E18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EFEFE"/>
        </w:rPr>
        <w:t xml:space="preserve"> </w:t>
      </w:r>
    </w:p>
    <w:p w:rsidR="00926E18" w:rsidRPr="00926E18" w:rsidRDefault="00926E18" w:rsidP="00B536F6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</w:pPr>
      <w:r w:rsidRPr="00926E18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Обосновка за увеличаването на финансовия ресурс по подмярка 4.1. от СВОМР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:</w:t>
      </w:r>
    </w:p>
    <w:p w:rsidR="00926E18" w:rsidRDefault="00A43AE1" w:rsidP="00926E18">
      <w:pPr>
        <w:pStyle w:val="ListParagraph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  <w:r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Чрез увеличаване на ресурса по подмярка 4.1. с 399</w:t>
      </w:r>
      <w:r w:rsidR="003534C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 </w:t>
      </w:r>
      <w:r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500</w:t>
      </w:r>
      <w:r w:rsidR="003534C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,</w:t>
      </w:r>
      <w:r w:rsidR="00C51894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00</w:t>
      </w:r>
      <w:r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лв. ще се подкрепи секторът на земеделието, който е структуроопределящ за местната икономика. Финансовият ресурс попада в обхвата на </w:t>
      </w:r>
      <w:r w:rsidRPr="00926E18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EFEFE"/>
        </w:rPr>
        <w:t>„Приоритет 1. Развитие на устойчив бизнес на територията на МИГ Брезово, Братя Даскалови и конкурентоспособна местна икономика.“</w:t>
      </w:r>
      <w:r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от СВ</w:t>
      </w:r>
      <w:r w:rsidR="00B536F6"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ОМР. </w:t>
      </w:r>
      <w:r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</w:p>
    <w:p w:rsidR="00926E18" w:rsidRDefault="00B536F6" w:rsidP="00926E18">
      <w:pPr>
        <w:pStyle w:val="ListParagraph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  <w:r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Въз основа на проведените приеми на проекти до момента е видно, че именно по подмярка 4.1. интересът е най – голям, както и потенциалът за реализиране на проекти. Подадени са общо 18 проектни предложения, </w:t>
      </w:r>
      <w:r w:rsidR="00926E18"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„</w:t>
      </w:r>
      <w:r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МИГ Брезово, Братя Даскалови</w:t>
      </w:r>
      <w:r w:rsidR="00926E18"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“</w:t>
      </w:r>
      <w:r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е одобрила 16 проекта, 9 са предложени за финансиране и още 7 са включени в списъка на резервните проектни предложения.</w:t>
      </w:r>
      <w:r w:rsidR="00D72330"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Броят на одобрените резервни проектни </w:t>
      </w:r>
      <w:r w:rsidR="00D72330"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lastRenderedPageBreak/>
        <w:t>предложения по подмярка 4.1. от СВОМР е значително по-голям в сравнение с резервните проектни предл</w:t>
      </w:r>
      <w:r w:rsidR="003B4596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ожения</w:t>
      </w:r>
      <w:r w:rsidR="00D72330"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по</w:t>
      </w:r>
      <w:r w:rsidR="0051153D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другата бизнес мярка (</w:t>
      </w:r>
      <w:r w:rsidR="00D72330"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подмярка 6.4.</w:t>
      </w:r>
      <w:r w:rsidR="0051153D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)</w:t>
      </w:r>
      <w:r w:rsidR="00DC7AD2"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, която също попада в обхвата на Приоритет 1</w:t>
      </w:r>
      <w:r w:rsidR="00D72330"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(7 резервни проектни предложения по подмярка 4.1. и 2 резервни проектни предложения </w:t>
      </w:r>
      <w:r w:rsidR="00AE349B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по подмярка </w:t>
      </w:r>
      <w:r w:rsidR="00D72330"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6.4.), което </w:t>
      </w:r>
      <w:r w:rsidR="009E1E09"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е </w:t>
      </w:r>
      <w:r w:rsidR="00D72330"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продиктувано</w:t>
      </w:r>
      <w:r w:rsidR="009E1E09"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,</w:t>
      </w:r>
      <w:r w:rsidR="00D72330"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както от предимно аграрния профил на територията на</w:t>
      </w:r>
      <w:r w:rsidR="00EF29D3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СНЦ</w:t>
      </w:r>
      <w:r w:rsidR="00D72330"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r w:rsidR="00926E18"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„</w:t>
      </w:r>
      <w:r w:rsidR="00D72330"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МИГ Брезово, Братя Даскалови</w:t>
      </w:r>
      <w:r w:rsidR="00926E18"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“</w:t>
      </w:r>
      <w:r w:rsidR="00D72330"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, така и от наличието на по-голяма проектна готовнос</w:t>
      </w:r>
      <w:r w:rsidR="00DC7AD2"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т</w:t>
      </w:r>
      <w:r w:rsidR="0051153D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в аграрния сектор</w:t>
      </w:r>
      <w:r w:rsidR="00D72330"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. Усп</w:t>
      </w:r>
      <w:r w:rsidR="00CB233C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оредно с това при първоначалния</w:t>
      </w:r>
      <w:r w:rsidR="005976D4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етап на програмиране в СВОМР е заложен</w:t>
      </w:r>
      <w:r w:rsidR="00D72330"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значително по-голям финансов ресурс по подмярка 6.4. (1 110</w:t>
      </w:r>
      <w:r w:rsidR="00A4192D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 </w:t>
      </w:r>
      <w:r w:rsidR="00D72330"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000</w:t>
      </w:r>
      <w:r w:rsidR="00A4192D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,00</w:t>
      </w:r>
      <w:r w:rsidR="00D72330"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лв.</w:t>
      </w:r>
      <w:r w:rsidR="000D103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,</w:t>
      </w:r>
      <w:r w:rsidR="00D72330"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в сравнение с 690</w:t>
      </w:r>
      <w:r w:rsidR="00DA030E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 </w:t>
      </w:r>
      <w:r w:rsidR="00D72330"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000</w:t>
      </w:r>
      <w:r w:rsidR="00DA030E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,</w:t>
      </w:r>
      <w:r w:rsidR="00962DAD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00</w:t>
      </w:r>
      <w:r w:rsidR="00D72330"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лв. по подмярка 4.1.) с предоставянето на допълнителен финансов ресурс по подмярка 4.1. ще се постигне сравнителен паритет по двете т.нар. бизнес мерки. </w:t>
      </w:r>
    </w:p>
    <w:p w:rsidR="0051153D" w:rsidRDefault="00220BD5" w:rsidP="00926E18">
      <w:pPr>
        <w:pStyle w:val="ListParagraph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  <w:r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Планираният допълнителен финансов ресурс ще предостави възможност за финансиране </w:t>
      </w:r>
      <w:r w:rsidR="003C197C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на </w:t>
      </w:r>
      <w:r w:rsidR="00D72330"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почти всички резервни </w:t>
      </w:r>
      <w:r w:rsidR="009E1E09"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проекти по подмярка 4.1., докато</w:t>
      </w:r>
      <w:r w:rsidR="00D72330"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по подмярка 6.4.</w:t>
      </w:r>
      <w:r w:rsidR="00F76630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,</w:t>
      </w:r>
      <w:r w:rsidR="00D72330"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биха достигнали за финансирането само на едно проектно предложение. </w:t>
      </w:r>
      <w:r w:rsidR="004C3944"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Това от своя страна </w:t>
      </w:r>
      <w:r w:rsidR="004C02CD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ще</w:t>
      </w:r>
      <w:r w:rsidR="009E1E09"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r w:rsidR="00DC7AD2"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даде възможност европейското финансиране да достигне до много по-голямо количество бенефициент</w:t>
      </w:r>
      <w:r w:rsidR="00F76630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и,</w:t>
      </w:r>
      <w:r w:rsidR="004C3944"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чрез увеличаване на бюджета по подмярка 4.1.</w:t>
      </w:r>
      <w:r w:rsidR="002B0A49"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</w:p>
    <w:p w:rsidR="00931BBC" w:rsidRDefault="002B0A49" w:rsidP="00926E18">
      <w:pPr>
        <w:pStyle w:val="ListParagraph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  <w:r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Съществен е и факторът време за реализация на проектните предложения. Тъй като интензитетът на финансирането по подмярка 4.1. е до 50% </w:t>
      </w:r>
      <w:r w:rsidR="00B76704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и </w:t>
      </w:r>
      <w:r w:rsidRPr="00926E18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потенциалните кандидати имат възможност да избират изпълнители и доставчици още на етап кандидатстване, чрез облекчена процедура с 3 оферти. Това значително ще ускори процесите по реализация на проектите, което е също е от значение, особено в края на програмния период и натрупаните до момента съществени забавяния в изпълнението на ПРСР.  </w:t>
      </w:r>
    </w:p>
    <w:p w:rsidR="00D007B5" w:rsidRPr="00926E18" w:rsidRDefault="00D007B5" w:rsidP="00926E18">
      <w:pPr>
        <w:pStyle w:val="ListParagraph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Не на последно място в рамките на проведеното обществено обсъждане</w:t>
      </w:r>
      <w:r w:rsidR="00B76704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,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получените становища от страна на заинтересувани лица от територията на </w:t>
      </w:r>
      <w:r w:rsidR="00B76704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СНЦ „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МИГ Брезово, Братя Даскалови</w:t>
      </w:r>
      <w:r w:rsidR="00B76704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“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изцяло подкрепят планираното разпределение на допълнителния финансов ресурс. </w:t>
      </w:r>
    </w:p>
    <w:p w:rsidR="00D02A40" w:rsidRDefault="00D02A40" w:rsidP="00B536F6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</w:pPr>
      <w:r w:rsidRPr="00D02A40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 xml:space="preserve">2. Планира се </w:t>
      </w:r>
      <w:r w:rsidR="00DB6D21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 xml:space="preserve">50% от </w:t>
      </w:r>
      <w:r w:rsidR="00147E34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>допълнителния</w:t>
      </w:r>
      <w:r w:rsidR="004A6E8F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 xml:space="preserve"> финансов ресурс в размер на </w:t>
      </w:r>
      <w:r w:rsidRPr="00D02A40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>399</w:t>
      </w:r>
      <w:r w:rsidR="00097395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> </w:t>
      </w:r>
      <w:r w:rsidRPr="00D02A40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>500</w:t>
      </w:r>
      <w:r w:rsidR="00097395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>,00</w:t>
      </w:r>
      <w:r w:rsidRPr="00D02A40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 xml:space="preserve"> лв. да бъдат насочени към подмярка 7.2.</w:t>
      </w:r>
    </w:p>
    <w:p w:rsidR="00D02A40" w:rsidRPr="00D02A40" w:rsidRDefault="00D02A40" w:rsidP="00B536F6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</w:pPr>
      <w:r w:rsidRPr="00D02A40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 xml:space="preserve">Обосновка за увеличаването на финансовия ресурс по подмярка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>7</w:t>
      </w:r>
      <w:r w:rsidRPr="00D02A40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>2.</w:t>
      </w:r>
      <w:r w:rsidRPr="00D02A40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 xml:space="preserve"> от СВОМР:</w:t>
      </w:r>
    </w:p>
    <w:p w:rsidR="00C83AAC" w:rsidRDefault="00982CB9" w:rsidP="00C83AAC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Спазвайки подхода на балансирано разпределение на допълнителните средства по линия на ПРСР въз основа на баланса на заложените приоритети в СВОМР, о</w:t>
      </w:r>
      <w:r w:rsidR="00883C58" w:rsidRPr="00C83AAC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станалата част от допълнителния финансов ресурс в размер на 399</w:t>
      </w:r>
      <w:r w:rsidR="002E34F9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 </w:t>
      </w:r>
      <w:r w:rsidR="00966707" w:rsidRPr="00C83AAC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5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00</w:t>
      </w:r>
      <w:r w:rsidR="002E34F9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,00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лв. се насочва към</w:t>
      </w:r>
      <w:r w:rsidR="00883C58" w:rsidRPr="00C83AAC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подмярка 7.2. „Инвестиции в създаването, подобряването или разширяването на всички видове малка по мащаби инфраструктура“. </w:t>
      </w:r>
      <w:r w:rsidR="00C83AAC" w:rsidRPr="00C83AAC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Съгласно йерархията на приоритетите и целите в СВОМР Подмярка 7.2. допринася за постигането на два приоритета: </w:t>
      </w:r>
      <w:r w:rsidR="00C83AAC" w:rsidRPr="00C83AAC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EFEFE"/>
        </w:rPr>
        <w:t>„Приоритет 2. Подобряване и съхраняване на природното, културно и историческо наследство на територията на „МИГ Брезово, Братя Даскалови“ и „Приоритет 3. Подобряване качеството на живот на територията на „МИГ Брезово, Братя Даскалови“.</w:t>
      </w:r>
    </w:p>
    <w:p w:rsidR="00C817A8" w:rsidRDefault="00F56F9C" w:rsidP="00C817A8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Д</w:t>
      </w:r>
      <w:r w:rsidR="00A24FB3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опълнител</w:t>
      </w:r>
      <w:r w:rsidR="00982CB9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н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ият</w:t>
      </w:r>
      <w:r w:rsidR="00982CB9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финансов ресурс ще допринесе за задоволяването на наличните обществени потребности в множество направления: </w:t>
      </w:r>
      <w:r w:rsidR="00982CB9" w:rsidRPr="00982CB9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достъпна и привлекателна среда, социална, културна, образователна и спортна инфраструктура</w:t>
      </w:r>
      <w:r w:rsidR="004A0B72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. Значителен е и обхватът на потенциалните бенефициенти: </w:t>
      </w:r>
      <w:r w:rsidR="00883C58" w:rsidRPr="00C83AAC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публични институции</w:t>
      </w:r>
      <w:r w:rsidR="003906B7" w:rsidRPr="00C83AAC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,</w:t>
      </w:r>
      <w:r w:rsidR="00883C58" w:rsidRPr="00C83AAC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представители на НПО сектора в това число </w:t>
      </w:r>
      <w:r w:rsidR="004A0B72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и </w:t>
      </w:r>
      <w:r w:rsidR="00883C58" w:rsidRPr="00C83AAC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местни читалища. </w:t>
      </w:r>
    </w:p>
    <w:p w:rsidR="004C02CD" w:rsidRDefault="006546A9" w:rsidP="00C817A8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lastRenderedPageBreak/>
        <w:t xml:space="preserve">Към момента по подмярка 7.2. от СВОМР е отбелязан най-голям напредък в процеса на договориране на проектни предложения. В рамките на реализираните приеми на проекти са договорирани 100 % от подадените проектни предложения (подписа ни са 3 договора и проектите са </w:t>
      </w:r>
      <w:r w:rsidR="00F56F9C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процес на реализация)</w:t>
      </w:r>
      <w:r w:rsidR="004C02CD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. Към момента 98,48% от бюджетът по подмярка 7.2. е вече договориран,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което е доказателство</w:t>
      </w:r>
      <w:r w:rsidR="004C02CD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за значителния интерес и наличието на проектна готовност. По отношение на планираното увеличение с 399</w:t>
      </w:r>
      <w:r w:rsidR="00D61FD1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 </w:t>
      </w:r>
      <w:r w:rsidR="004C02CD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500</w:t>
      </w:r>
      <w:r w:rsidR="00D61FD1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,00</w:t>
      </w:r>
      <w:r w:rsidR="004C02CD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лв. също е декларирано наличие на проектна готовност и интерес от страна на потенциални кандидати от публичния сектор.</w:t>
      </w:r>
    </w:p>
    <w:p w:rsidR="004A0B72" w:rsidRPr="003F5165" w:rsidRDefault="004C02CD" w:rsidP="003F5165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  <w:r w:rsidRPr="004C02CD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Не на последно място в рамките на проведеното обществено обсъждане получените становища от страна на заинтересувани лица от територията на </w:t>
      </w:r>
      <w:r w:rsidR="00262313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СНЦ „</w:t>
      </w:r>
      <w:r w:rsidRPr="004C02CD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МИГ Брезово, Братя Даскалови</w:t>
      </w:r>
      <w:r w:rsidR="00262313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“</w:t>
      </w:r>
      <w:r w:rsidRPr="004C02CD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изцяло подкрепят планираното разпределение на допълнителния финансов ресурс. </w:t>
      </w:r>
    </w:p>
    <w:p w:rsidR="004C02CD" w:rsidRPr="004C02CD" w:rsidRDefault="004C02CD" w:rsidP="004C02CD">
      <w:pPr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</w:pPr>
      <w:r w:rsidRPr="004C02CD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 xml:space="preserve">3. Планира се </w:t>
      </w:r>
      <w:r w:rsidR="004A6E8F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 xml:space="preserve">допълнителен финансов ресурс в размер на </w:t>
      </w:r>
      <w:r w:rsidRPr="004C02CD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>11</w:t>
      </w:r>
      <w:r w:rsidR="00810C79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 xml:space="preserve">4 000,00 </w:t>
      </w:r>
      <w:r w:rsidR="004A6E8F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 xml:space="preserve">лв. </w:t>
      </w:r>
      <w:r w:rsidRPr="004C02CD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>по подмярка 19.4.</w:t>
      </w:r>
    </w:p>
    <w:p w:rsidR="004C02CD" w:rsidRDefault="004C02CD" w:rsidP="004C02CD">
      <w:pPr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</w:pPr>
      <w:r w:rsidRPr="004C02CD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 xml:space="preserve">Обосновка за планираното увеличение на средствата по подмярка 19.4. </w:t>
      </w:r>
    </w:p>
    <w:p w:rsidR="004C02CD" w:rsidRDefault="0063076F" w:rsidP="00225569">
      <w:pPr>
        <w:pStyle w:val="ListParagraph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С оглед на удължаване</w:t>
      </w:r>
      <w:r w:rsidR="00225569" w:rsidRPr="00225569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срока за изпълнение на Стратегиите за ВОМР до 2025 г. е налице обективна необходимост от увеличаване на бюджета по подмярка 19.4. </w:t>
      </w:r>
      <w:r w:rsidR="00E8672D" w:rsidRPr="00225569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“Текущи разходи и популяризиране на стратегия за водено от общностите местно развитие”</w:t>
      </w:r>
      <w:r w:rsidR="00E8672D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, </w:t>
      </w:r>
      <w:r w:rsidR="00225569" w:rsidRPr="00225569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което ще осигури допълнителен финансов ресурс за обезпечаване дейността </w:t>
      </w:r>
      <w:r w:rsidR="00225569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на </w:t>
      </w:r>
      <w:r w:rsidR="00A32183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СНЦ </w:t>
      </w:r>
      <w:r w:rsidR="00E8672D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„</w:t>
      </w:r>
      <w:r w:rsidR="00225569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МИГ Брезово, Братя Даскалови</w:t>
      </w:r>
      <w:r w:rsidR="00E8672D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“</w:t>
      </w:r>
      <w:r w:rsidR="00225569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.</w:t>
      </w:r>
    </w:p>
    <w:p w:rsidR="00907D08" w:rsidRPr="00562F64" w:rsidRDefault="00883C58" w:rsidP="00907D08">
      <w:pPr>
        <w:pStyle w:val="ListParagraph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  <w:r w:rsidRPr="00225569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Четвъртият приоритет на СВОМР </w:t>
      </w:r>
      <w:r w:rsidRPr="0022556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EFEFE"/>
        </w:rPr>
        <w:t>Приоритет 4. Изграждане, укрепване и интегриране на териториална общност “МИГ Брезово, Братя Даскалови“ чрез създаване на социален капитал на общността.</w:t>
      </w:r>
      <w:r w:rsidR="003906B7" w:rsidRPr="0022556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EFEFE"/>
        </w:rPr>
        <w:t>“</w:t>
      </w:r>
      <w:r w:rsidR="003906B7" w:rsidRPr="00225569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основно се постига</w:t>
      </w:r>
      <w:r w:rsidR="00562F2E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,</w:t>
      </w:r>
      <w:r w:rsidR="003906B7" w:rsidRPr="00225569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чрез финансовия ресурс по  подмярка 19.4 “Текущи разходи и популяризиране на стратегия за водено от общностите местно развитие”. Планираните допълнителни средства в размер на 114</w:t>
      </w:r>
      <w:r w:rsidR="0023577B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 </w:t>
      </w:r>
      <w:r w:rsidR="003906B7" w:rsidRPr="00225569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000</w:t>
      </w:r>
      <w:r w:rsidR="0023577B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,00</w:t>
      </w:r>
      <w:r w:rsidR="003906B7" w:rsidRPr="00225569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лв. попада</w:t>
      </w:r>
      <w:r w:rsidR="00562F2E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т</w:t>
      </w:r>
      <w:r w:rsidR="003906B7" w:rsidRPr="00225569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в обхвата именно на този приоритет. </w:t>
      </w:r>
    </w:p>
    <w:p w:rsidR="00907D08" w:rsidRDefault="00907D08" w:rsidP="00907D08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>Обосновка за съответствие с приоритетите на СВОМР и балансирано разпределение на допълнителните средства</w:t>
      </w:r>
      <w:r w:rsidRPr="00581C2A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 xml:space="preserve">: </w:t>
      </w:r>
    </w:p>
    <w:p w:rsidR="00273F99" w:rsidRPr="00273F99" w:rsidRDefault="00907D08" w:rsidP="00907D08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ab/>
      </w:r>
      <w:r w:rsidR="00273F99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Планираното допълнително финансиране изцяло съвпада с приоритетите на СВОМР на </w:t>
      </w:r>
      <w:r w:rsidR="00BE5904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СНЦ „</w:t>
      </w:r>
      <w:r w:rsidR="00273F99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МИГ Брезово, Братя Даскалови</w:t>
      </w:r>
      <w:r w:rsidR="00BE5904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“</w:t>
      </w:r>
      <w:r w:rsidR="00273F99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, като </w:t>
      </w:r>
      <w:r w:rsidR="00755B02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>за всеки един от 4-те приорите</w:t>
      </w:r>
      <w:r w:rsidR="00273F99" w:rsidRPr="00273F99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 xml:space="preserve">та по стратегията са предвидени средства: </w:t>
      </w:r>
    </w:p>
    <w:p w:rsidR="00273F99" w:rsidRDefault="00273F99" w:rsidP="00907D08">
      <w:pPr>
        <w:pStyle w:val="ListParagraph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  <w:r w:rsidRPr="00273F99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Добавянето на 399</w:t>
      </w:r>
      <w:r w:rsidR="009800C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 </w:t>
      </w:r>
      <w:r w:rsidRPr="00273F99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500</w:t>
      </w:r>
      <w:r w:rsidR="009800C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,00</w:t>
      </w:r>
      <w:r w:rsidRPr="00273F99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лв. по подмярка 4.1.</w:t>
      </w:r>
      <w:r w:rsidRPr="00273F99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допринася за постигането на </w:t>
      </w:r>
      <w:r w:rsidRPr="00273F9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EFEFE"/>
        </w:rPr>
        <w:t>„Приоритет 1. Развитие на устойчив бизнес на територията на МИГ Брезово, Братя Даскалови и конкурентоспособна местна икономика.“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от СВОМР;</w:t>
      </w:r>
    </w:p>
    <w:p w:rsidR="00273F99" w:rsidRPr="00273F99" w:rsidRDefault="00273F99" w:rsidP="00907D08">
      <w:pPr>
        <w:pStyle w:val="ListParagraph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  <w:r w:rsidRPr="00273F99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Останалите 50% от допълнителните средства в размер на 399</w:t>
      </w:r>
      <w:r w:rsidR="00562F64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 </w:t>
      </w:r>
      <w:r w:rsidRPr="00273F99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500</w:t>
      </w:r>
      <w:r w:rsidR="00562F64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,00</w:t>
      </w:r>
      <w:r w:rsidRPr="00273F99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лв. са предвидени за подмярка 7.2., която допринася за постигането на два приоритета: </w:t>
      </w:r>
      <w:r w:rsidRPr="00273F9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EFEFE"/>
        </w:rPr>
        <w:t>„Приоритет 2. Подобряване и съхраняване на природното, културно и историческо наследство на територията на „МИГ Брезово, Братя Даскалови“</w:t>
      </w:r>
      <w:r w:rsidRPr="00273F99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и </w:t>
      </w:r>
      <w:r w:rsidRPr="00273F9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EFEFE"/>
        </w:rPr>
        <w:t>„Приоритет 3. Подобряване качеството на живот на територията на</w:t>
      </w:r>
      <w:r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EFEFE"/>
        </w:rPr>
        <w:t xml:space="preserve"> „МИГ Брезово, Братя Даскалови“;</w:t>
      </w:r>
    </w:p>
    <w:p w:rsidR="00D86BEB" w:rsidRPr="00DB6D21" w:rsidRDefault="00273F99" w:rsidP="00DB6D21">
      <w:pPr>
        <w:pStyle w:val="ListParagraph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lastRenderedPageBreak/>
        <w:t xml:space="preserve">Средствата по подмярка 19.4. допринасят за постигането на </w:t>
      </w:r>
      <w:r w:rsidRPr="00273F99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EFEFE"/>
        </w:rPr>
        <w:t>Приоритет 4. Изграждане, укрепване и интегриране на териториална общност “МИГ Брезово, Братя Даскалови“ чрез създаване на социален капитал на общността.“</w:t>
      </w:r>
    </w:p>
    <w:p w:rsidR="00D86BEB" w:rsidRPr="00D86BEB" w:rsidRDefault="00D86BEB" w:rsidP="00907D08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</w:pPr>
      <w:r w:rsidRPr="00D86BEB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Напълно спазен е принципът за балансирано разпределение на допълнителните средства:</w:t>
      </w:r>
    </w:p>
    <w:p w:rsidR="00D86BEB" w:rsidRDefault="00907D08" w:rsidP="00D86BEB">
      <w:pPr>
        <w:pStyle w:val="ListParagraph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  <w:r w:rsidRPr="00D86BEB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Планирано е </w:t>
      </w:r>
      <w:r w:rsidRPr="00D86BEB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>50% от допълнителните средства</w:t>
      </w:r>
      <w:r w:rsidRPr="00D86BEB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в размер на 399</w:t>
      </w:r>
      <w:r w:rsidR="000B2550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 </w:t>
      </w:r>
      <w:r w:rsidRPr="00D86BEB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500</w:t>
      </w:r>
      <w:r w:rsidR="000B2550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,00</w:t>
      </w:r>
      <w:r w:rsidRPr="00D86BEB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лв. да бъдат насочени </w:t>
      </w:r>
      <w:r w:rsidRPr="00D86BEB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>към потенциални бенефициенти от бизнес сектора</w:t>
      </w:r>
      <w:r w:rsidRPr="00D86BEB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и </w:t>
      </w:r>
      <w:r w:rsidRPr="00D86BEB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>50% към потенциални бенефициенти от публичния и неправителствения сектор</w:t>
      </w:r>
      <w:r w:rsidR="00D86BEB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, като по този начин се запазва</w:t>
      </w:r>
      <w:r w:rsidRPr="00D86BEB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първоначално заложеният баланс на средствата в СВОМР.</w:t>
      </w:r>
    </w:p>
    <w:p w:rsidR="00907D08" w:rsidRPr="00D86BEB" w:rsidRDefault="00907D08" w:rsidP="00234B71">
      <w:pPr>
        <w:pStyle w:val="ListParagraph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  <w:r w:rsidRPr="00D86BEB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В одобрената стратегията за ВОМР с най-висок относителен дял на бюджета са т. нар. частните подмерки с приблизително 61% от разполагаемият финансов ресурс, а публичните мерки с потенциални бенефициенти от публичния и нестопанския сектор</w:t>
      </w:r>
      <w:r w:rsidR="00DD0EA3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,</w:t>
      </w:r>
      <w:r w:rsidRPr="00D86BEB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съответно 39 %. </w:t>
      </w:r>
      <w:r w:rsidRPr="00414589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След планираното увеличение на финансови</w:t>
      </w:r>
      <w:r w:rsidR="00DD0EA3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я ресурс първоначално заложения</w:t>
      </w:r>
      <w:r w:rsidRPr="00414589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 xml:space="preserve"> баланс на средствата в СВОМР ще бъде запазен</w:t>
      </w:r>
      <w:r w:rsidRPr="00D86BEB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, като по този начин 59% от общия финансов ресурс в СВОМР е предназначен за бизнес сектора и 41% за публичния и нестопански сектор.</w:t>
      </w:r>
    </w:p>
    <w:p w:rsidR="007219DE" w:rsidRPr="007655BA" w:rsidRDefault="00887340" w:rsidP="00234B71">
      <w:pPr>
        <w:jc w:val="both"/>
        <w:rPr>
          <w:rFonts w:ascii="Times New Roman" w:hAnsi="Times New Roman" w:cs="Times New Roman"/>
          <w:sz w:val="24"/>
          <w:szCs w:val="24"/>
        </w:rPr>
      </w:pPr>
      <w:r w:rsidRPr="00581C2A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Правно основание:</w:t>
      </w:r>
      <w:r w:rsidRPr="00581C2A">
        <w:rPr>
          <w:rFonts w:ascii="Times New Roman" w:hAnsi="Times New Roman" w:cs="Times New Roman"/>
          <w:sz w:val="24"/>
          <w:szCs w:val="24"/>
        </w:rPr>
        <w:t xml:space="preserve"> </w:t>
      </w:r>
      <w:r w:rsidR="007F24EE" w:rsidRPr="00581C2A">
        <w:rPr>
          <w:rFonts w:ascii="Times New Roman" w:hAnsi="Times New Roman" w:cs="Times New Roman"/>
          <w:sz w:val="24"/>
          <w:szCs w:val="24"/>
        </w:rPr>
        <w:t>Предложените промени</w:t>
      </w:r>
      <w:r w:rsidR="00032683" w:rsidRPr="00032683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r w:rsidR="00032683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са допустими и</w:t>
      </w:r>
      <w:r w:rsidR="007F24EE" w:rsidRPr="00581C2A">
        <w:rPr>
          <w:rFonts w:ascii="Times New Roman" w:hAnsi="Times New Roman" w:cs="Times New Roman"/>
          <w:sz w:val="24"/>
          <w:szCs w:val="24"/>
        </w:rPr>
        <w:t xml:space="preserve"> се извършват на основание чл. 39, т. 1 </w:t>
      </w:r>
      <w:r w:rsidR="00CE30EB" w:rsidRPr="00CE30EB">
        <w:rPr>
          <w:rFonts w:ascii="Times New Roman" w:hAnsi="Times New Roman" w:cs="Times New Roman"/>
          <w:sz w:val="24"/>
          <w:szCs w:val="24"/>
        </w:rPr>
        <w:t xml:space="preserve">от Наредба №22 от 14.12.2015 г. за прилагане на Подмярка 19.2. от ПРСР 2014 – 2020 г. </w:t>
      </w:r>
      <w:r w:rsidR="007F24EE" w:rsidRPr="00581C2A">
        <w:rPr>
          <w:rFonts w:ascii="Times New Roman" w:hAnsi="Times New Roman" w:cs="Times New Roman"/>
          <w:i/>
          <w:sz w:val="24"/>
          <w:szCs w:val="24"/>
        </w:rPr>
        <w:t>„След подписване на споразумението промяна в стратегията за ВОМР се допуска само: 1. във връзка с промяна на приложимата нормативна уредба и/или във връзка с пр</w:t>
      </w:r>
      <w:r w:rsidR="00955123">
        <w:rPr>
          <w:rFonts w:ascii="Times New Roman" w:hAnsi="Times New Roman" w:cs="Times New Roman"/>
          <w:i/>
          <w:sz w:val="24"/>
          <w:szCs w:val="24"/>
        </w:rPr>
        <w:t>омяна на съответната програма;“</w:t>
      </w:r>
      <w:r w:rsidR="00955123">
        <w:rPr>
          <w:rFonts w:ascii="Times New Roman" w:hAnsi="Times New Roman" w:cs="Times New Roman"/>
          <w:sz w:val="24"/>
          <w:szCs w:val="24"/>
        </w:rPr>
        <w:t xml:space="preserve"> </w:t>
      </w:r>
      <w:r w:rsidR="00955123" w:rsidRPr="00955123">
        <w:rPr>
          <w:rFonts w:ascii="Times New Roman" w:hAnsi="Times New Roman" w:cs="Times New Roman"/>
          <w:sz w:val="24"/>
          <w:szCs w:val="24"/>
        </w:rPr>
        <w:t>Във връзка с изменение на Програмата за развитие на селски</w:t>
      </w:r>
      <w:r w:rsidR="00955123">
        <w:rPr>
          <w:rFonts w:ascii="Times New Roman" w:hAnsi="Times New Roman" w:cs="Times New Roman"/>
          <w:sz w:val="24"/>
          <w:szCs w:val="24"/>
        </w:rPr>
        <w:t xml:space="preserve">те райони 2014-2020 г., </w:t>
      </w:r>
      <w:r w:rsidR="00955123" w:rsidRPr="00955123">
        <w:rPr>
          <w:rFonts w:ascii="Times New Roman" w:hAnsi="Times New Roman" w:cs="Times New Roman"/>
          <w:sz w:val="24"/>
          <w:szCs w:val="24"/>
        </w:rPr>
        <w:t>се осигурява допълнително финансиране по подхода ВОМР за увеличаване бюджета на изпълняващите се стратегии с до 799</w:t>
      </w:r>
      <w:r w:rsidR="00340398">
        <w:rPr>
          <w:rFonts w:ascii="Times New Roman" w:hAnsi="Times New Roman" w:cs="Times New Roman"/>
          <w:sz w:val="24"/>
          <w:szCs w:val="24"/>
        </w:rPr>
        <w:t> </w:t>
      </w:r>
      <w:r w:rsidR="00955123" w:rsidRPr="00955123">
        <w:rPr>
          <w:rFonts w:ascii="Times New Roman" w:hAnsi="Times New Roman" w:cs="Times New Roman"/>
          <w:sz w:val="24"/>
          <w:szCs w:val="24"/>
        </w:rPr>
        <w:t>000</w:t>
      </w:r>
      <w:r w:rsidR="00340398">
        <w:rPr>
          <w:rFonts w:ascii="Times New Roman" w:hAnsi="Times New Roman" w:cs="Times New Roman"/>
          <w:sz w:val="24"/>
          <w:szCs w:val="24"/>
        </w:rPr>
        <w:t>,00</w:t>
      </w:r>
      <w:r w:rsidR="00955123" w:rsidRPr="00955123">
        <w:rPr>
          <w:rFonts w:ascii="Times New Roman" w:hAnsi="Times New Roman" w:cs="Times New Roman"/>
          <w:sz w:val="24"/>
          <w:szCs w:val="24"/>
        </w:rPr>
        <w:t xml:space="preserve"> лв. по подмярка 19.2 „Прилагане на операции в рамките на стратегии за Водено от общностите </w:t>
      </w:r>
      <w:r w:rsidR="00E3287C">
        <w:rPr>
          <w:rFonts w:ascii="Times New Roman" w:hAnsi="Times New Roman" w:cs="Times New Roman"/>
          <w:sz w:val="24"/>
          <w:szCs w:val="24"/>
        </w:rPr>
        <w:t xml:space="preserve">местно развитие“ и с до 114 000,00 </w:t>
      </w:r>
      <w:r w:rsidR="00955123" w:rsidRPr="00955123">
        <w:rPr>
          <w:rFonts w:ascii="Times New Roman" w:hAnsi="Times New Roman" w:cs="Times New Roman"/>
          <w:sz w:val="24"/>
          <w:szCs w:val="24"/>
        </w:rPr>
        <w:t>лв. по подмярка 19.4 „Текущи разходи и популяри</w:t>
      </w:r>
      <w:r w:rsidR="00955123">
        <w:rPr>
          <w:rFonts w:ascii="Times New Roman" w:hAnsi="Times New Roman" w:cs="Times New Roman"/>
          <w:sz w:val="24"/>
          <w:szCs w:val="24"/>
        </w:rPr>
        <w:t>зиране на стратегии за ВОМР“.</w:t>
      </w:r>
    </w:p>
    <w:p w:rsidR="007D5C84" w:rsidRPr="00581C2A" w:rsidRDefault="00C1331C" w:rsidP="00C13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81C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911EE">
        <w:rPr>
          <w:rFonts w:ascii="Times New Roman" w:hAnsi="Times New Roman" w:cs="Times New Roman"/>
          <w:b/>
          <w:sz w:val="24"/>
          <w:szCs w:val="24"/>
        </w:rPr>
        <w:t>В 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6. Финансов план, подраздел 6.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331C">
        <w:rPr>
          <w:rFonts w:ascii="Times New Roman" w:hAnsi="Times New Roman" w:cs="Times New Roman"/>
          <w:b/>
          <w:sz w:val="24"/>
          <w:szCs w:val="24"/>
        </w:rPr>
        <w:t>Финансова обосновка на бюджета и разпределението на ср</w:t>
      </w:r>
      <w:r>
        <w:rPr>
          <w:rFonts w:ascii="Times New Roman" w:hAnsi="Times New Roman" w:cs="Times New Roman"/>
          <w:b/>
          <w:sz w:val="24"/>
          <w:szCs w:val="24"/>
        </w:rPr>
        <w:t>едствата по програми и по мерки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 предлагат следните промени,</w:t>
      </w:r>
      <w:r w:rsidRPr="00F911EE">
        <w:rPr>
          <w:rFonts w:ascii="Times New Roman" w:hAnsi="Times New Roman" w:cs="Times New Roman"/>
          <w:b/>
          <w:sz w:val="24"/>
          <w:szCs w:val="24"/>
        </w:rPr>
        <w:t xml:space="preserve"> както следва:</w:t>
      </w:r>
    </w:p>
    <w:p w:rsidR="00C470FE" w:rsidRDefault="00C470FE" w:rsidP="007D5C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031"/>
        <w:gridCol w:w="5283"/>
      </w:tblGrid>
      <w:tr w:rsidR="007D5C84" w:rsidTr="007655BA">
        <w:tc>
          <w:tcPr>
            <w:tcW w:w="5031" w:type="dxa"/>
            <w:shd w:val="clear" w:color="auto" w:fill="9BBB59" w:themeFill="accent3"/>
          </w:tcPr>
          <w:p w:rsidR="007D5C84" w:rsidRPr="000C3F34" w:rsidRDefault="007D5C84" w:rsidP="00765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34">
              <w:rPr>
                <w:rFonts w:ascii="Times New Roman" w:hAnsi="Times New Roman" w:cs="Times New Roman"/>
                <w:b/>
                <w:sz w:val="24"/>
                <w:szCs w:val="24"/>
              </w:rPr>
              <w:t>БИЛО</w:t>
            </w:r>
          </w:p>
        </w:tc>
        <w:tc>
          <w:tcPr>
            <w:tcW w:w="5283" w:type="dxa"/>
            <w:shd w:val="clear" w:color="auto" w:fill="FFFF00"/>
          </w:tcPr>
          <w:p w:rsidR="007D5C84" w:rsidRPr="000C3F34" w:rsidRDefault="007D5C84" w:rsidP="00765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34">
              <w:rPr>
                <w:rFonts w:ascii="Times New Roman" w:hAnsi="Times New Roman" w:cs="Times New Roman"/>
                <w:b/>
                <w:sz w:val="24"/>
                <w:szCs w:val="24"/>
              </w:rPr>
              <w:t>СТАВА</w:t>
            </w:r>
          </w:p>
        </w:tc>
      </w:tr>
      <w:tr w:rsidR="007D5C84" w:rsidTr="007655BA">
        <w:tc>
          <w:tcPr>
            <w:tcW w:w="5031" w:type="dxa"/>
          </w:tcPr>
          <w:p w:rsidR="007D5C84" w:rsidRPr="00147E34" w:rsidRDefault="007D5C84" w:rsidP="00765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най-висок относителен дял са частните подмерки: 6.4. -  </w:t>
            </w:r>
            <w:r w:rsidRPr="00F911E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37,84%;</w:t>
            </w:r>
            <w:r w:rsidRPr="00F9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подмярка 4.1. </w:t>
            </w:r>
            <w:r w:rsidRPr="00F911E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23,52%;</w:t>
            </w:r>
            <w:r w:rsidRPr="00F9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следвани от публичните мерки: 7.2. - </w:t>
            </w:r>
            <w:r w:rsidRPr="00F911E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26,52%;</w:t>
            </w:r>
            <w:r w:rsidRPr="00F9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7.5. - </w:t>
            </w:r>
            <w:r w:rsidRPr="00F911E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6,48%;</w:t>
            </w:r>
            <w:r w:rsidRPr="00F9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7.4. - </w:t>
            </w:r>
            <w:r w:rsidRPr="00F911E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4,09%</w:t>
            </w:r>
            <w:r w:rsidRPr="00F9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мярка 21 - </w:t>
            </w:r>
            <w:r w:rsidRPr="00F911E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1,56%.</w:t>
            </w:r>
          </w:p>
        </w:tc>
        <w:tc>
          <w:tcPr>
            <w:tcW w:w="5283" w:type="dxa"/>
          </w:tcPr>
          <w:p w:rsidR="007D5C84" w:rsidRPr="00F911EE" w:rsidRDefault="007D5C84" w:rsidP="00765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най-висок относителен дял са частните подмерки: 6.4. -  </w:t>
            </w:r>
            <w:r w:rsidRPr="00EB7B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29,74%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подмярка 4.1. </w:t>
            </w:r>
            <w:r w:rsidRPr="00EB7B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29,19</w:t>
            </w:r>
            <w:r w:rsidRPr="00F911E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%</w:t>
            </w:r>
            <w:r w:rsidRPr="00F911EE">
              <w:rPr>
                <w:rFonts w:ascii="Times New Roman" w:eastAsia="Times New Roman" w:hAnsi="Times New Roman" w:cs="Times New Roman"/>
                <w:sz w:val="24"/>
                <w:szCs w:val="24"/>
              </w:rPr>
              <w:t>; следван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от публичните мерки: 7.2. - </w:t>
            </w:r>
            <w:r w:rsidRPr="00EB7B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31,55%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7.5. – </w:t>
            </w:r>
            <w:r w:rsidRPr="00EB7B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5,09%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7.4. – </w:t>
            </w:r>
            <w:r w:rsidRPr="00EB7B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3,21%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мярка 21 - </w:t>
            </w:r>
            <w:r w:rsidRPr="00EB7B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1,22</w:t>
            </w:r>
            <w:r w:rsidRPr="00F911E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%.</w:t>
            </w:r>
          </w:p>
          <w:p w:rsidR="007D5C84" w:rsidRDefault="007D5C84" w:rsidP="00765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84" w:rsidTr="007655BA">
        <w:tc>
          <w:tcPr>
            <w:tcW w:w="5031" w:type="dxa"/>
          </w:tcPr>
          <w:p w:rsidR="007D5C84" w:rsidRPr="00F911EE" w:rsidRDefault="007D5C84" w:rsidP="00765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Изхождайки от включеният бюджет за финансиране на проекти в размер на </w:t>
            </w:r>
            <w:r w:rsidRPr="00F911E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2 933 700,00</w:t>
            </w:r>
            <w:r w:rsidRPr="00F9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лв. е идентифициран и бюджетът за</w:t>
            </w:r>
            <w:r w:rsidRPr="00F911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911E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 разходи и популяризиране на стратегия за водено от общностите местно развитие (</w:t>
            </w:r>
            <w:r w:rsidRPr="00F911E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сто от общите публични разходи от ЕЗФРСР, включващи разходите по </w:t>
            </w:r>
            <w:r w:rsidRPr="00F911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подмярка 19.2 и подмярка 19.4) в размер на </w:t>
            </w:r>
            <w:r w:rsidRPr="00F911E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977 900,00 лв.</w:t>
            </w:r>
          </w:p>
        </w:tc>
        <w:tc>
          <w:tcPr>
            <w:tcW w:w="5283" w:type="dxa"/>
          </w:tcPr>
          <w:p w:rsidR="007D5C84" w:rsidRPr="00F911EE" w:rsidRDefault="007D5C84" w:rsidP="00765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1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Изхождайки от включеният бюджет за финансиране на проекти в размер на </w:t>
            </w:r>
            <w:r w:rsidRPr="00EB7B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3 732 700,00</w:t>
            </w:r>
            <w:r w:rsidRPr="00F9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лв. е идентифициран и бюджетът за</w:t>
            </w:r>
            <w:r w:rsidRPr="00F911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911E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 разходи и популяризиране на стратегия за водено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общностите местно развитие (</w:t>
            </w:r>
            <w:r w:rsidRPr="00EB7B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22,62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сто от общите публични разходи от ЕЗФРСР, включващи разходите по подмярка 19.2 и </w:t>
            </w:r>
            <w:r w:rsidRPr="00F911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подмярка 19.4) в размер на </w:t>
            </w:r>
            <w:r w:rsidRPr="00EB7B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1 091 400,00 </w:t>
            </w:r>
            <w:r w:rsidRPr="00F911E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лв</w:t>
            </w:r>
            <w:r w:rsidRPr="00F911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B6D21" w:rsidRDefault="00DB6D21" w:rsidP="00234B71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</w:pPr>
    </w:p>
    <w:p w:rsidR="00B06E9B" w:rsidRDefault="00234B71" w:rsidP="00234B71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</w:pPr>
      <w:r w:rsidRPr="00581C2A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 xml:space="preserve">Обосновка и правно основание: </w:t>
      </w:r>
    </w:p>
    <w:p w:rsidR="0058099C" w:rsidRDefault="00B06E9B" w:rsidP="0058099C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  <w:r w:rsidRPr="00C45DE9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 xml:space="preserve">Обосновка: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Предлаганите промени в </w:t>
      </w:r>
      <w:r w:rsidR="0096670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раздел </w:t>
      </w:r>
      <w:r w:rsidRPr="00B06E9B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6.2. Финансова обосновка на бюджета и разпределението на средствата по програми и по мерки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се извършват въз основа на новите стойности и нов</w:t>
      </w:r>
      <w:r w:rsidR="0096670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ата относителна тежест на </w:t>
      </w:r>
      <w:proofErr w:type="spellStart"/>
      <w:r w:rsidR="0096670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подмер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ките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в следствие на  промените в подраздел 6.1. </w:t>
      </w:r>
      <w:r w:rsidRPr="00B06E9B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Индикативно разпределение на средствата по програми/фондове и по мерки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от СВОМР</w:t>
      </w:r>
      <w:r w:rsidR="00731D0C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. Относителната тежест на всяка една от </w:t>
      </w:r>
      <w:proofErr w:type="spellStart"/>
      <w:r w:rsidR="00731D0C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подмерки</w:t>
      </w:r>
      <w:r w:rsidR="00955123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те</w:t>
      </w:r>
      <w:proofErr w:type="spellEnd"/>
      <w:r w:rsidR="00955123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на СВОМР след увеличението с</w:t>
      </w:r>
      <w:r w:rsidR="00731D0C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799</w:t>
      </w:r>
      <w:r w:rsidR="007225EC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 </w:t>
      </w:r>
      <w:r w:rsidR="00731D0C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000</w:t>
      </w:r>
      <w:r w:rsidR="007225EC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,00</w:t>
      </w:r>
      <w:r w:rsidR="00731D0C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лв. се променя</w:t>
      </w:r>
      <w:r w:rsidR="0058099C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, но е запазено съотношението между частни и публични мерки:</w:t>
      </w:r>
    </w:p>
    <w:p w:rsidR="0058099C" w:rsidRDefault="0058099C" w:rsidP="0058099C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Преди увеличението на бюджета на СВОМР със 799</w:t>
      </w:r>
      <w:r w:rsidR="007225EC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 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000</w:t>
      </w:r>
      <w:r w:rsidR="007225EC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,00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лв. относителният дял на частните мерки е най-висок – 61,36% (подмярка 6.4. - 37,84% и подмярка 4.1. – 23,52%),</w:t>
      </w:r>
      <w:r w:rsidR="00722E39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а публичните подмерки са с относителна тежест – 38,64% (подмярка 7.2. – 26,52%, 7.5. – 6,48%, 7.4. – 4.09%, 21 – 1,56%).</w:t>
      </w:r>
    </w:p>
    <w:p w:rsidR="00722E39" w:rsidRPr="0058099C" w:rsidRDefault="00722E39" w:rsidP="00722E39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След увеличението на бюджета на СВОМР със 799</w:t>
      </w:r>
      <w:r w:rsidR="00FB0A12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 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000</w:t>
      </w:r>
      <w:r w:rsidR="00FB0A12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,00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лв. се запазва първоначално заложеният баланс на средствата между частни и публични подмерки. </w:t>
      </w:r>
      <w:r w:rsidRPr="00722E39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59% от общия финансов ресурс в СВОМР е предназначен за бизнес сектора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(подмярка 4.1. – 29,19%, подмярка 6.4. – 29,74%). 41% е предназначен за публичния и нестопанския сектор.</w:t>
      </w:r>
    </w:p>
    <w:p w:rsidR="007219DE" w:rsidRPr="00DB6D21" w:rsidRDefault="00B06E9B" w:rsidP="00B06E9B">
      <w:pPr>
        <w:jc w:val="both"/>
        <w:rPr>
          <w:rFonts w:ascii="Times New Roman" w:hAnsi="Times New Roman" w:cs="Times New Roman"/>
          <w:sz w:val="24"/>
          <w:szCs w:val="24"/>
        </w:rPr>
      </w:pPr>
      <w:r w:rsidRPr="00581C2A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Правно основание:</w:t>
      </w:r>
      <w:r w:rsidRPr="00581C2A">
        <w:rPr>
          <w:rFonts w:ascii="Times New Roman" w:hAnsi="Times New Roman" w:cs="Times New Roman"/>
          <w:sz w:val="24"/>
          <w:szCs w:val="24"/>
        </w:rPr>
        <w:t xml:space="preserve"> Предложените промени</w:t>
      </w:r>
      <w:r w:rsidRPr="00032683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са допустими и</w:t>
      </w:r>
      <w:r w:rsidRPr="00581C2A">
        <w:rPr>
          <w:rFonts w:ascii="Times New Roman" w:hAnsi="Times New Roman" w:cs="Times New Roman"/>
          <w:sz w:val="24"/>
          <w:szCs w:val="24"/>
        </w:rPr>
        <w:t xml:space="preserve"> се извършват на основание чл. 39, т. 1 </w:t>
      </w:r>
      <w:r w:rsidRPr="00CE30EB">
        <w:rPr>
          <w:rFonts w:ascii="Times New Roman" w:hAnsi="Times New Roman" w:cs="Times New Roman"/>
          <w:sz w:val="24"/>
          <w:szCs w:val="24"/>
        </w:rPr>
        <w:t xml:space="preserve">от Наредба №22 от 14.12.2015 г. за прилагане на Подмярка 19.2. от ПРСР 2014 – 2020 г. </w:t>
      </w:r>
      <w:r w:rsidRPr="00581C2A">
        <w:rPr>
          <w:rFonts w:ascii="Times New Roman" w:hAnsi="Times New Roman" w:cs="Times New Roman"/>
          <w:i/>
          <w:sz w:val="24"/>
          <w:szCs w:val="24"/>
        </w:rPr>
        <w:t xml:space="preserve">„След подписване на споразумението промяна в стратегията за ВОМР се допуска само: 1. във връзка с промяна на приложимата нормативна уредба и/или във връзка с промяна на съответната програма;“ </w:t>
      </w:r>
      <w:r w:rsidR="00955123" w:rsidRPr="00955123">
        <w:rPr>
          <w:rFonts w:ascii="Times New Roman" w:hAnsi="Times New Roman" w:cs="Times New Roman"/>
          <w:sz w:val="24"/>
          <w:szCs w:val="24"/>
        </w:rPr>
        <w:t>Във връзка с изменение на Програмата за развитие на селски</w:t>
      </w:r>
      <w:r w:rsidR="00955123">
        <w:rPr>
          <w:rFonts w:ascii="Times New Roman" w:hAnsi="Times New Roman" w:cs="Times New Roman"/>
          <w:sz w:val="24"/>
          <w:szCs w:val="24"/>
        </w:rPr>
        <w:t xml:space="preserve">те райони 2014-2020 г., </w:t>
      </w:r>
      <w:r w:rsidR="00955123" w:rsidRPr="00955123">
        <w:rPr>
          <w:rFonts w:ascii="Times New Roman" w:hAnsi="Times New Roman" w:cs="Times New Roman"/>
          <w:sz w:val="24"/>
          <w:szCs w:val="24"/>
        </w:rPr>
        <w:t>се осигурява допълнително финансиране по подхода ВОМР за увеличаване бюджета на изпълняващите се стратегии с до 799</w:t>
      </w:r>
      <w:r w:rsidR="00FB0A12">
        <w:rPr>
          <w:rFonts w:ascii="Times New Roman" w:hAnsi="Times New Roman" w:cs="Times New Roman"/>
          <w:sz w:val="24"/>
          <w:szCs w:val="24"/>
        </w:rPr>
        <w:t> </w:t>
      </w:r>
      <w:r w:rsidR="00955123" w:rsidRPr="00955123">
        <w:rPr>
          <w:rFonts w:ascii="Times New Roman" w:hAnsi="Times New Roman" w:cs="Times New Roman"/>
          <w:sz w:val="24"/>
          <w:szCs w:val="24"/>
        </w:rPr>
        <w:t>000</w:t>
      </w:r>
      <w:r w:rsidR="00FB0A12">
        <w:rPr>
          <w:rFonts w:ascii="Times New Roman" w:hAnsi="Times New Roman" w:cs="Times New Roman"/>
          <w:sz w:val="24"/>
          <w:szCs w:val="24"/>
        </w:rPr>
        <w:t>,00</w:t>
      </w:r>
      <w:r w:rsidR="00955123" w:rsidRPr="00955123">
        <w:rPr>
          <w:rFonts w:ascii="Times New Roman" w:hAnsi="Times New Roman" w:cs="Times New Roman"/>
          <w:sz w:val="24"/>
          <w:szCs w:val="24"/>
        </w:rPr>
        <w:t xml:space="preserve"> лв. по подмярка 19.2 „Прилагане на операции в рамките на стратегии за Водено от общностите местно развитие“ и с до 114</w:t>
      </w:r>
      <w:r w:rsidR="00274D2D">
        <w:rPr>
          <w:rFonts w:ascii="Times New Roman" w:hAnsi="Times New Roman" w:cs="Times New Roman"/>
          <w:sz w:val="24"/>
          <w:szCs w:val="24"/>
        </w:rPr>
        <w:t> </w:t>
      </w:r>
      <w:r w:rsidR="00955123" w:rsidRPr="00955123">
        <w:rPr>
          <w:rFonts w:ascii="Times New Roman" w:hAnsi="Times New Roman" w:cs="Times New Roman"/>
          <w:sz w:val="24"/>
          <w:szCs w:val="24"/>
        </w:rPr>
        <w:t>000</w:t>
      </w:r>
      <w:r w:rsidR="00274D2D">
        <w:rPr>
          <w:rFonts w:ascii="Times New Roman" w:hAnsi="Times New Roman" w:cs="Times New Roman"/>
          <w:sz w:val="24"/>
          <w:szCs w:val="24"/>
        </w:rPr>
        <w:t>,00</w:t>
      </w:r>
      <w:r w:rsidR="00955123" w:rsidRPr="00955123">
        <w:rPr>
          <w:rFonts w:ascii="Times New Roman" w:hAnsi="Times New Roman" w:cs="Times New Roman"/>
          <w:sz w:val="24"/>
          <w:szCs w:val="24"/>
        </w:rPr>
        <w:t xml:space="preserve"> лв. по подмярка 19.4 „Текущи разходи и популяри</w:t>
      </w:r>
      <w:r w:rsidR="00955123">
        <w:rPr>
          <w:rFonts w:ascii="Times New Roman" w:hAnsi="Times New Roman" w:cs="Times New Roman"/>
          <w:sz w:val="24"/>
          <w:szCs w:val="24"/>
        </w:rPr>
        <w:t>зиране на стратегии за ВОМР“.</w:t>
      </w:r>
    </w:p>
    <w:p w:rsidR="007D5C84" w:rsidRPr="002A544D" w:rsidRDefault="00594BB8" w:rsidP="002A5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1C2A">
        <w:rPr>
          <w:rFonts w:ascii="Times New Roman" w:eastAsia="Calibri" w:hAnsi="Times New Roman" w:cs="Times New Roman"/>
          <w:b/>
          <w:sz w:val="24"/>
          <w:szCs w:val="24"/>
          <w:shd w:val="clear" w:color="auto" w:fill="F2F2F2" w:themeFill="background1" w:themeFillShade="F2"/>
        </w:rPr>
        <w:t xml:space="preserve"> </w:t>
      </w:r>
      <w:r w:rsidR="00EC64FD" w:rsidRPr="00581C2A">
        <w:rPr>
          <w:rFonts w:ascii="Times New Roman" w:eastAsia="Calibri" w:hAnsi="Times New Roman" w:cs="Times New Roman"/>
          <w:b/>
          <w:sz w:val="24"/>
          <w:szCs w:val="24"/>
          <w:shd w:val="clear" w:color="auto" w:fill="F2F2F2" w:themeFill="background1" w:themeFillShade="F2"/>
        </w:rPr>
        <w:t xml:space="preserve"> </w:t>
      </w:r>
      <w:r w:rsidR="001D6CFC" w:rsidRPr="00581C2A">
        <w:rPr>
          <w:rFonts w:ascii="Times New Roman" w:eastAsia="Calibri" w:hAnsi="Times New Roman" w:cs="Times New Roman"/>
          <w:b/>
          <w:sz w:val="24"/>
          <w:szCs w:val="24"/>
          <w:shd w:val="clear" w:color="auto" w:fill="F2F2F2" w:themeFill="background1" w:themeFillShade="F2"/>
          <w:lang w:val="en-US"/>
        </w:rPr>
        <w:t>I</w:t>
      </w:r>
      <w:r w:rsidR="00776E2D">
        <w:rPr>
          <w:rFonts w:ascii="Times New Roman" w:eastAsia="Calibri" w:hAnsi="Times New Roman" w:cs="Times New Roman"/>
          <w:b/>
          <w:sz w:val="24"/>
          <w:szCs w:val="24"/>
          <w:shd w:val="clear" w:color="auto" w:fill="F2F2F2" w:themeFill="background1" w:themeFillShade="F2"/>
          <w:lang w:val="en-US"/>
        </w:rPr>
        <w:t>I</w:t>
      </w:r>
      <w:r w:rsidR="001D6CFC" w:rsidRPr="00581C2A">
        <w:rPr>
          <w:rFonts w:ascii="Times New Roman" w:hAnsi="Times New Roman" w:cs="Times New Roman"/>
          <w:b/>
          <w:sz w:val="24"/>
          <w:szCs w:val="24"/>
          <w:shd w:val="clear" w:color="auto" w:fill="F2F2F2" w:themeFill="background1" w:themeFillShade="F2"/>
          <w:lang w:val="en-US"/>
        </w:rPr>
        <w:t>I.</w:t>
      </w:r>
      <w:r w:rsidR="001D6CFC" w:rsidRPr="00581C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76E2D" w:rsidRPr="00776E2D">
        <w:rPr>
          <w:rFonts w:ascii="Times New Roman" w:hAnsi="Times New Roman" w:cs="Times New Roman"/>
          <w:b/>
          <w:sz w:val="24"/>
          <w:szCs w:val="24"/>
        </w:rPr>
        <w:t>В раздел 9. Индикатори за мониторинг и оценка, подраздел 9.1. Индикатори за цялостното прилагане на стратегията за ВОМР, включително брой създа</w:t>
      </w:r>
      <w:r w:rsidR="00776E2D">
        <w:rPr>
          <w:rFonts w:ascii="Times New Roman" w:hAnsi="Times New Roman" w:cs="Times New Roman"/>
          <w:b/>
          <w:sz w:val="24"/>
          <w:szCs w:val="24"/>
        </w:rPr>
        <w:t>дени работни места</w:t>
      </w:r>
      <w:r w:rsidR="00776E2D" w:rsidRPr="00776E2D">
        <w:rPr>
          <w:rFonts w:ascii="Times New Roman" w:hAnsi="Times New Roman" w:cs="Times New Roman"/>
          <w:b/>
          <w:sz w:val="24"/>
          <w:szCs w:val="24"/>
        </w:rPr>
        <w:t xml:space="preserve"> се промени както следва: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992"/>
        <w:gridCol w:w="1417"/>
        <w:gridCol w:w="1560"/>
        <w:gridCol w:w="2268"/>
      </w:tblGrid>
      <w:tr w:rsidR="007D5C84" w:rsidRPr="00776E2D" w:rsidTr="007D5C84">
        <w:trPr>
          <w:trHeight w:val="478"/>
        </w:trPr>
        <w:tc>
          <w:tcPr>
            <w:tcW w:w="10173" w:type="dxa"/>
            <w:gridSpan w:val="6"/>
            <w:shd w:val="clear" w:color="auto" w:fill="F2F2F2" w:themeFill="background1" w:themeFillShade="F2"/>
          </w:tcPr>
          <w:p w:rsidR="007D5C84" w:rsidRPr="00776E2D" w:rsidRDefault="007D5C84" w:rsidP="007655BA">
            <w:pPr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776E2D">
              <w:rPr>
                <w:rFonts w:ascii="Times New Roman" w:hAnsi="Times New Roman" w:cs="Times New Roman"/>
                <w:b/>
                <w:sz w:val="24"/>
                <w:szCs w:val="24"/>
              </w:rPr>
              <w:t>9.1. Индикатори за цялостното прилагане на стратегията за ВОМР, включително брой създа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 работни места:</w:t>
            </w:r>
          </w:p>
        </w:tc>
      </w:tr>
      <w:tr w:rsidR="007D5C84" w:rsidRPr="00776E2D" w:rsidTr="00BF780C">
        <w:trPr>
          <w:trHeight w:val="394"/>
        </w:trPr>
        <w:tc>
          <w:tcPr>
            <w:tcW w:w="1242" w:type="dxa"/>
            <w:vMerge w:val="restart"/>
          </w:tcPr>
          <w:p w:rsidR="007D5C84" w:rsidRPr="007D5C84" w:rsidRDefault="007D5C84" w:rsidP="007655B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Вид индикатор</w:t>
            </w:r>
          </w:p>
        </w:tc>
        <w:tc>
          <w:tcPr>
            <w:tcW w:w="2694" w:type="dxa"/>
            <w:vMerge w:val="restart"/>
          </w:tcPr>
          <w:p w:rsidR="007D5C84" w:rsidRPr="007D5C84" w:rsidRDefault="007D5C84" w:rsidP="007655B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индикатор</w:t>
            </w:r>
          </w:p>
        </w:tc>
        <w:tc>
          <w:tcPr>
            <w:tcW w:w="992" w:type="dxa"/>
            <w:vMerge w:val="restart"/>
          </w:tcPr>
          <w:p w:rsidR="007D5C84" w:rsidRPr="007D5C84" w:rsidRDefault="007D5C84" w:rsidP="007655B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Мерна ед.</w:t>
            </w:r>
          </w:p>
        </w:tc>
        <w:tc>
          <w:tcPr>
            <w:tcW w:w="1417" w:type="dxa"/>
            <w:shd w:val="clear" w:color="auto" w:fill="9BBB59" w:themeFill="accent3"/>
          </w:tcPr>
          <w:p w:rsidR="007D5C84" w:rsidRPr="007D5C84" w:rsidRDefault="007D5C84" w:rsidP="007655B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БИЛО</w:t>
            </w:r>
          </w:p>
        </w:tc>
        <w:tc>
          <w:tcPr>
            <w:tcW w:w="1560" w:type="dxa"/>
            <w:shd w:val="clear" w:color="auto" w:fill="FFFF00"/>
          </w:tcPr>
          <w:p w:rsidR="007D5C84" w:rsidRPr="007D5C84" w:rsidRDefault="007D5C84" w:rsidP="007655B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СТАВА</w:t>
            </w:r>
          </w:p>
        </w:tc>
        <w:tc>
          <w:tcPr>
            <w:tcW w:w="2268" w:type="dxa"/>
            <w:vMerge w:val="restart"/>
          </w:tcPr>
          <w:p w:rsidR="007D5C84" w:rsidRPr="007D5C84" w:rsidRDefault="007D5C84" w:rsidP="007655B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Източник на информация</w:t>
            </w:r>
          </w:p>
        </w:tc>
      </w:tr>
      <w:tr w:rsidR="007D5C84" w:rsidRPr="00776E2D" w:rsidTr="007655BA">
        <w:tc>
          <w:tcPr>
            <w:tcW w:w="1242" w:type="dxa"/>
            <w:vMerge/>
          </w:tcPr>
          <w:p w:rsidR="007D5C84" w:rsidRPr="007D5C84" w:rsidRDefault="007D5C84" w:rsidP="007655B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</w:tcPr>
          <w:p w:rsidR="007D5C84" w:rsidRPr="007D5C84" w:rsidRDefault="007D5C84" w:rsidP="007655B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vMerge/>
          </w:tcPr>
          <w:p w:rsidR="007D5C84" w:rsidRPr="007D5C84" w:rsidRDefault="007D5C84" w:rsidP="007655B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2977" w:type="dxa"/>
            <w:gridSpan w:val="2"/>
          </w:tcPr>
          <w:p w:rsidR="007D5C84" w:rsidRPr="007D5C84" w:rsidRDefault="007D5C84" w:rsidP="007655B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Цел до </w:t>
            </w:r>
            <w:proofErr w:type="spellStart"/>
            <w:r w:rsidRPr="007D5C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кр</w:t>
            </w:r>
            <w:proofErr w:type="spellEnd"/>
            <w:r w:rsidRPr="007D5C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. на СВОМР</w:t>
            </w:r>
          </w:p>
        </w:tc>
        <w:tc>
          <w:tcPr>
            <w:tcW w:w="2268" w:type="dxa"/>
            <w:vMerge/>
          </w:tcPr>
          <w:p w:rsidR="007D5C84" w:rsidRPr="007D5C84" w:rsidRDefault="007D5C84" w:rsidP="007655B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</w:tr>
      <w:tr w:rsidR="007D5C84" w:rsidRPr="00776E2D" w:rsidTr="007655BA">
        <w:tc>
          <w:tcPr>
            <w:tcW w:w="1242" w:type="dxa"/>
            <w:vMerge w:val="restart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изходен</w:t>
            </w:r>
          </w:p>
        </w:tc>
        <w:tc>
          <w:tcPr>
            <w:tcW w:w="2694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Проекти, финансирани по СМР</w:t>
            </w:r>
          </w:p>
        </w:tc>
        <w:tc>
          <w:tcPr>
            <w:tcW w:w="992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417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560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2268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База данни и отчети на МИГ</w:t>
            </w:r>
          </w:p>
        </w:tc>
      </w:tr>
      <w:tr w:rsidR="007D5C84" w:rsidRPr="00776E2D" w:rsidTr="007655BA">
        <w:tc>
          <w:tcPr>
            <w:tcW w:w="1242" w:type="dxa"/>
            <w:vMerge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Бенефициенти, подпомогнати по СМР</w:t>
            </w:r>
          </w:p>
        </w:tc>
        <w:tc>
          <w:tcPr>
            <w:tcW w:w="992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417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560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2268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База данни и отчети на МИГ</w:t>
            </w:r>
          </w:p>
        </w:tc>
      </w:tr>
      <w:tr w:rsidR="007D5C84" w:rsidRPr="00776E2D" w:rsidTr="007655BA">
        <w:tc>
          <w:tcPr>
            <w:tcW w:w="1242" w:type="dxa"/>
            <w:vMerge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 обем на публичния принос</w:t>
            </w:r>
          </w:p>
        </w:tc>
        <w:tc>
          <w:tcPr>
            <w:tcW w:w="992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417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  <w:t>2 933 хил. лева</w:t>
            </w:r>
          </w:p>
        </w:tc>
        <w:tc>
          <w:tcPr>
            <w:tcW w:w="1560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  <w:t>3 732  хил. лева</w:t>
            </w:r>
          </w:p>
        </w:tc>
        <w:tc>
          <w:tcPr>
            <w:tcW w:w="2268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База данни и отчети на МИГ</w:t>
            </w:r>
          </w:p>
        </w:tc>
      </w:tr>
      <w:tr w:rsidR="007D5C84" w:rsidRPr="00776E2D" w:rsidTr="007655BA">
        <w:tc>
          <w:tcPr>
            <w:tcW w:w="1242" w:type="dxa"/>
            <w:vMerge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Подкрепени новосъздадени </w:t>
            </w:r>
          </w:p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микропредприятия</w:t>
            </w:r>
            <w:proofErr w:type="spellEnd"/>
          </w:p>
        </w:tc>
        <w:tc>
          <w:tcPr>
            <w:tcW w:w="992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брой</w:t>
            </w:r>
          </w:p>
        </w:tc>
        <w:tc>
          <w:tcPr>
            <w:tcW w:w="1417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:rsidR="007D5C84" w:rsidRPr="007D5C84" w:rsidRDefault="003578BC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  <w:t>Минимум 1</w:t>
            </w:r>
          </w:p>
        </w:tc>
        <w:tc>
          <w:tcPr>
            <w:tcW w:w="2268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База данни и отчети на </w:t>
            </w: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МИГ</w:t>
            </w:r>
          </w:p>
        </w:tc>
      </w:tr>
      <w:tr w:rsidR="007D5C84" w:rsidRPr="00776E2D" w:rsidTr="007655BA">
        <w:tc>
          <w:tcPr>
            <w:tcW w:w="1242" w:type="dxa"/>
            <w:vMerge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Подкрепени проекти за </w:t>
            </w:r>
          </w:p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интегриран туризъм</w:t>
            </w:r>
          </w:p>
        </w:tc>
        <w:tc>
          <w:tcPr>
            <w:tcW w:w="992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417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:rsidR="007D5C84" w:rsidRPr="007D5C84" w:rsidRDefault="000E7D03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  <w:t xml:space="preserve">Минимум </w:t>
            </w:r>
            <w:r w:rsidR="007D5C84" w:rsidRPr="007D5C8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  <w:t>1</w:t>
            </w:r>
          </w:p>
        </w:tc>
        <w:tc>
          <w:tcPr>
            <w:tcW w:w="2268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База данни и отчети на МИГ</w:t>
            </w:r>
          </w:p>
        </w:tc>
      </w:tr>
      <w:tr w:rsidR="007D5C84" w:rsidRPr="00776E2D" w:rsidTr="007655BA">
        <w:tc>
          <w:tcPr>
            <w:tcW w:w="1242" w:type="dxa"/>
            <w:vMerge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Проекти реализирани извън общинските центрове</w:t>
            </w:r>
          </w:p>
        </w:tc>
        <w:tc>
          <w:tcPr>
            <w:tcW w:w="992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417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  <w:t>20</w:t>
            </w:r>
          </w:p>
        </w:tc>
        <w:tc>
          <w:tcPr>
            <w:tcW w:w="2268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База данни и отчети на МИГ</w:t>
            </w:r>
          </w:p>
        </w:tc>
      </w:tr>
      <w:tr w:rsidR="007D5C84" w:rsidRPr="00776E2D" w:rsidTr="007655BA">
        <w:tc>
          <w:tcPr>
            <w:tcW w:w="1242" w:type="dxa"/>
            <w:vMerge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Проекти на частни бенефициенти</w:t>
            </w:r>
          </w:p>
        </w:tc>
        <w:tc>
          <w:tcPr>
            <w:tcW w:w="992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417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:rsidR="007D5C84" w:rsidRPr="003B7F86" w:rsidRDefault="003B7F86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7F8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bg-BG"/>
              </w:rPr>
              <w:t>2</w:t>
            </w:r>
            <w:r w:rsidRPr="003B7F8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  <w:t>8</w:t>
            </w:r>
          </w:p>
        </w:tc>
        <w:tc>
          <w:tcPr>
            <w:tcW w:w="2268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База данни и отчети на МИГ</w:t>
            </w:r>
          </w:p>
        </w:tc>
      </w:tr>
      <w:tr w:rsidR="007D5C84" w:rsidRPr="00776E2D" w:rsidTr="007655BA">
        <w:tc>
          <w:tcPr>
            <w:tcW w:w="1242" w:type="dxa"/>
            <w:vMerge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Проекти на публични </w:t>
            </w:r>
          </w:p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бенефициенти</w:t>
            </w:r>
          </w:p>
        </w:tc>
        <w:tc>
          <w:tcPr>
            <w:tcW w:w="992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417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560" w:type="dxa"/>
          </w:tcPr>
          <w:p w:rsidR="007D5C84" w:rsidRPr="003B7F86" w:rsidRDefault="0049633D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  <w:t>11</w:t>
            </w:r>
          </w:p>
        </w:tc>
        <w:tc>
          <w:tcPr>
            <w:tcW w:w="2268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База данни и отчети на МИГ</w:t>
            </w:r>
          </w:p>
        </w:tc>
      </w:tr>
      <w:tr w:rsidR="007D5C84" w:rsidRPr="00776E2D" w:rsidTr="007655BA">
        <w:tc>
          <w:tcPr>
            <w:tcW w:w="1242" w:type="dxa"/>
            <w:vMerge w:val="restart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резултат</w:t>
            </w:r>
          </w:p>
        </w:tc>
        <w:tc>
          <w:tcPr>
            <w:tcW w:w="2694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Създадени работни места</w:t>
            </w:r>
          </w:p>
        </w:tc>
        <w:tc>
          <w:tcPr>
            <w:tcW w:w="992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Мин.25</w:t>
            </w:r>
          </w:p>
        </w:tc>
        <w:tc>
          <w:tcPr>
            <w:tcW w:w="1560" w:type="dxa"/>
          </w:tcPr>
          <w:p w:rsidR="007D5C84" w:rsidRPr="00B81CA9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81CA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  <w:t>Мин</w:t>
            </w:r>
            <w:r w:rsidR="00B81CA9" w:rsidRPr="00B81CA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  <w:t>.30</w:t>
            </w:r>
          </w:p>
        </w:tc>
        <w:tc>
          <w:tcPr>
            <w:tcW w:w="2268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5C84" w:rsidRPr="00776E2D" w:rsidTr="007655BA">
        <w:tc>
          <w:tcPr>
            <w:tcW w:w="1242" w:type="dxa"/>
            <w:vMerge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Млади хора до 40 г. и жени, успешно реализирали проекти по СВОМР</w:t>
            </w:r>
          </w:p>
        </w:tc>
        <w:tc>
          <w:tcPr>
            <w:tcW w:w="992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417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60" w:type="dxa"/>
          </w:tcPr>
          <w:p w:rsidR="007D5C84" w:rsidRPr="00967320" w:rsidRDefault="00967320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268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5C84" w:rsidRPr="00776E2D" w:rsidTr="007655BA">
        <w:tc>
          <w:tcPr>
            <w:tcW w:w="1242" w:type="dxa"/>
            <w:vMerge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Население от територията, което се ползва от подобрени </w:t>
            </w:r>
          </w:p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услуги</w:t>
            </w:r>
          </w:p>
        </w:tc>
        <w:tc>
          <w:tcPr>
            <w:tcW w:w="992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 %</w:t>
            </w:r>
          </w:p>
        </w:tc>
        <w:tc>
          <w:tcPr>
            <w:tcW w:w="1417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:rsidR="007D5C84" w:rsidRPr="007D5C84" w:rsidRDefault="002D1235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D123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  <w:t>10%</w:t>
            </w:r>
          </w:p>
        </w:tc>
        <w:tc>
          <w:tcPr>
            <w:tcW w:w="2268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5C84" w:rsidRPr="00776E2D" w:rsidTr="007655BA">
        <w:tc>
          <w:tcPr>
            <w:tcW w:w="1242" w:type="dxa"/>
            <w:vMerge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Стопанства,  прилагащи биологично земеделие</w:t>
            </w:r>
          </w:p>
        </w:tc>
        <w:tc>
          <w:tcPr>
            <w:tcW w:w="992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417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Минимум  1</w:t>
            </w:r>
          </w:p>
        </w:tc>
        <w:tc>
          <w:tcPr>
            <w:tcW w:w="1560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Минимум  1</w:t>
            </w:r>
          </w:p>
        </w:tc>
        <w:tc>
          <w:tcPr>
            <w:tcW w:w="2268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5C84" w:rsidRPr="00776E2D" w:rsidTr="007655BA">
        <w:tc>
          <w:tcPr>
            <w:tcW w:w="1242" w:type="dxa"/>
            <w:vMerge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Привлечени нови инвеститори в територията</w:t>
            </w:r>
          </w:p>
        </w:tc>
        <w:tc>
          <w:tcPr>
            <w:tcW w:w="992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Минимум 4</w:t>
            </w:r>
          </w:p>
        </w:tc>
        <w:tc>
          <w:tcPr>
            <w:tcW w:w="1560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Минимум 4</w:t>
            </w:r>
          </w:p>
        </w:tc>
        <w:tc>
          <w:tcPr>
            <w:tcW w:w="2268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5C84" w:rsidRPr="00776E2D" w:rsidTr="007655BA">
        <w:tc>
          <w:tcPr>
            <w:tcW w:w="1242" w:type="dxa"/>
            <w:vMerge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Населени места, които се ползват от подобрените услуги</w:t>
            </w:r>
          </w:p>
        </w:tc>
        <w:tc>
          <w:tcPr>
            <w:tcW w:w="992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417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560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268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5C84" w:rsidRPr="00776E2D" w:rsidTr="007655BA">
        <w:tc>
          <w:tcPr>
            <w:tcW w:w="1242" w:type="dxa"/>
            <w:vMerge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Инициативи за поддържане живи местни традиции и обичаи, възстановени, съхранени и пресъздадени като туристическа атракция</w:t>
            </w:r>
          </w:p>
        </w:tc>
        <w:tc>
          <w:tcPr>
            <w:tcW w:w="992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417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60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268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5C84" w:rsidRPr="00776E2D" w:rsidTr="007655BA">
        <w:tc>
          <w:tcPr>
            <w:tcW w:w="1242" w:type="dxa"/>
            <w:vMerge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Организирани фестивали, които популяризират територията и нейната специфика, възможности и ресурси</w:t>
            </w:r>
          </w:p>
        </w:tc>
        <w:tc>
          <w:tcPr>
            <w:tcW w:w="992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417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Минимум 2</w:t>
            </w:r>
          </w:p>
        </w:tc>
        <w:tc>
          <w:tcPr>
            <w:tcW w:w="1560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Минимум 2</w:t>
            </w:r>
          </w:p>
        </w:tc>
        <w:tc>
          <w:tcPr>
            <w:tcW w:w="2268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5C84" w:rsidRPr="00776E2D" w:rsidTr="007655BA">
        <w:tc>
          <w:tcPr>
            <w:tcW w:w="1242" w:type="dxa"/>
            <w:vMerge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 местни традиции и обичаи, възстановени, съхранени и пресъздадени като туристическа атракция</w:t>
            </w:r>
          </w:p>
        </w:tc>
        <w:tc>
          <w:tcPr>
            <w:tcW w:w="992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417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60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5C8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268" w:type="dxa"/>
          </w:tcPr>
          <w:p w:rsidR="007D5C84" w:rsidRPr="007D5C84" w:rsidRDefault="007D5C84" w:rsidP="007655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7D5C84" w:rsidRDefault="007D5C84" w:rsidP="001D6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AA8" w:rsidRPr="00955AA8" w:rsidRDefault="00955AA8" w:rsidP="00782C6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AA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III.1.</w:t>
      </w:r>
      <w:r w:rsidRPr="00955A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Промени в </w:t>
      </w:r>
      <w:r w:rsidRPr="00955AA8">
        <w:rPr>
          <w:rFonts w:ascii="Times New Roman" w:hAnsi="Times New Roman" w:cs="Times New Roman"/>
          <w:b/>
          <w:sz w:val="24"/>
          <w:szCs w:val="24"/>
          <w:u w:val="single"/>
        </w:rPr>
        <w:t>изходните индикатори и индикаторите за резултат произтичащи от увеличаването на бюджетна на СВОМР.</w:t>
      </w:r>
    </w:p>
    <w:p w:rsidR="00782C6C" w:rsidRDefault="00782C6C" w:rsidP="00782C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106D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Правно основание: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r w:rsidRPr="00581C2A">
        <w:rPr>
          <w:rFonts w:ascii="Times New Roman" w:hAnsi="Times New Roman" w:cs="Times New Roman"/>
          <w:sz w:val="24"/>
          <w:szCs w:val="24"/>
        </w:rPr>
        <w:t>Предложените промени</w:t>
      </w:r>
      <w:r w:rsidRPr="00032683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са допустими и</w:t>
      </w:r>
      <w:r w:rsidRPr="00581C2A">
        <w:rPr>
          <w:rFonts w:ascii="Times New Roman" w:hAnsi="Times New Roman" w:cs="Times New Roman"/>
          <w:sz w:val="24"/>
          <w:szCs w:val="24"/>
        </w:rPr>
        <w:t xml:space="preserve"> се извършват на основание чл. 39, т. 1 </w:t>
      </w:r>
      <w:r w:rsidRPr="00CE30EB">
        <w:rPr>
          <w:rFonts w:ascii="Times New Roman" w:hAnsi="Times New Roman" w:cs="Times New Roman"/>
          <w:sz w:val="24"/>
          <w:szCs w:val="24"/>
        </w:rPr>
        <w:t xml:space="preserve">от Наредба №22 от 14.12.2015 г. за прилагане на Подмярка 19.2. от ПРСР 2014 – 2020 г. </w:t>
      </w:r>
      <w:r w:rsidRPr="00581C2A">
        <w:rPr>
          <w:rFonts w:ascii="Times New Roman" w:hAnsi="Times New Roman" w:cs="Times New Roman"/>
          <w:i/>
          <w:sz w:val="24"/>
          <w:szCs w:val="24"/>
        </w:rPr>
        <w:t>„След подписване на споразумението промяна в стратегията за ВОМР се допуска само: 1. във връзка с промяна на приложимата нормативна уредба и/или във връзка с промяна на съответната програма;“</w:t>
      </w:r>
      <w:r w:rsidR="00955123" w:rsidRPr="00955123">
        <w:rPr>
          <w:rFonts w:ascii="Times New Roman" w:hAnsi="Times New Roman" w:cs="Times New Roman"/>
          <w:sz w:val="24"/>
          <w:szCs w:val="24"/>
        </w:rPr>
        <w:t xml:space="preserve"> Във връзка с изменение на Програмата за развитие на селски</w:t>
      </w:r>
      <w:r w:rsidR="00955123">
        <w:rPr>
          <w:rFonts w:ascii="Times New Roman" w:hAnsi="Times New Roman" w:cs="Times New Roman"/>
          <w:sz w:val="24"/>
          <w:szCs w:val="24"/>
        </w:rPr>
        <w:t xml:space="preserve">те райони 2014-2020 г., </w:t>
      </w:r>
      <w:r w:rsidR="00955123" w:rsidRPr="00955123">
        <w:rPr>
          <w:rFonts w:ascii="Times New Roman" w:hAnsi="Times New Roman" w:cs="Times New Roman"/>
          <w:sz w:val="24"/>
          <w:szCs w:val="24"/>
        </w:rPr>
        <w:t>се осигурява допълнително финансиране по подхода ВОМР за увеличаване бюджета на изпълняващите се стратегии с до 799</w:t>
      </w:r>
      <w:r w:rsidR="007A64DD">
        <w:rPr>
          <w:rFonts w:ascii="Times New Roman" w:hAnsi="Times New Roman" w:cs="Times New Roman"/>
          <w:sz w:val="24"/>
          <w:szCs w:val="24"/>
        </w:rPr>
        <w:t> </w:t>
      </w:r>
      <w:r w:rsidR="00955123" w:rsidRPr="00955123">
        <w:rPr>
          <w:rFonts w:ascii="Times New Roman" w:hAnsi="Times New Roman" w:cs="Times New Roman"/>
          <w:sz w:val="24"/>
          <w:szCs w:val="24"/>
        </w:rPr>
        <w:t>000</w:t>
      </w:r>
      <w:r w:rsidR="007A64DD">
        <w:rPr>
          <w:rFonts w:ascii="Times New Roman" w:hAnsi="Times New Roman" w:cs="Times New Roman"/>
          <w:sz w:val="24"/>
          <w:szCs w:val="24"/>
        </w:rPr>
        <w:t>,00</w:t>
      </w:r>
      <w:r w:rsidR="00955123" w:rsidRPr="00955123">
        <w:rPr>
          <w:rFonts w:ascii="Times New Roman" w:hAnsi="Times New Roman" w:cs="Times New Roman"/>
          <w:sz w:val="24"/>
          <w:szCs w:val="24"/>
        </w:rPr>
        <w:t xml:space="preserve"> лв. по подмярка 19.2 „Прилагане на </w:t>
      </w:r>
      <w:r w:rsidR="00955123" w:rsidRPr="00955123">
        <w:rPr>
          <w:rFonts w:ascii="Times New Roman" w:hAnsi="Times New Roman" w:cs="Times New Roman"/>
          <w:sz w:val="24"/>
          <w:szCs w:val="24"/>
        </w:rPr>
        <w:lastRenderedPageBreak/>
        <w:t>операции в рамките на стратегии за Водено от общностите местно развитие“ и с до 114</w:t>
      </w:r>
      <w:r w:rsidR="007A64DD">
        <w:rPr>
          <w:rFonts w:ascii="Times New Roman" w:hAnsi="Times New Roman" w:cs="Times New Roman"/>
          <w:sz w:val="24"/>
          <w:szCs w:val="24"/>
        </w:rPr>
        <w:t> </w:t>
      </w:r>
      <w:r w:rsidR="00955123" w:rsidRPr="00955123">
        <w:rPr>
          <w:rFonts w:ascii="Times New Roman" w:hAnsi="Times New Roman" w:cs="Times New Roman"/>
          <w:sz w:val="24"/>
          <w:szCs w:val="24"/>
        </w:rPr>
        <w:t>000</w:t>
      </w:r>
      <w:r w:rsidR="007A64DD">
        <w:rPr>
          <w:rFonts w:ascii="Times New Roman" w:hAnsi="Times New Roman" w:cs="Times New Roman"/>
          <w:sz w:val="24"/>
          <w:szCs w:val="24"/>
        </w:rPr>
        <w:t>,00</w:t>
      </w:r>
      <w:r w:rsidR="00955123" w:rsidRPr="00955123">
        <w:rPr>
          <w:rFonts w:ascii="Times New Roman" w:hAnsi="Times New Roman" w:cs="Times New Roman"/>
          <w:sz w:val="24"/>
          <w:szCs w:val="24"/>
        </w:rPr>
        <w:t xml:space="preserve"> лв. по подмярка 19.4 „Текущи разходи и популяри</w:t>
      </w:r>
      <w:r w:rsidR="00955123">
        <w:rPr>
          <w:rFonts w:ascii="Times New Roman" w:hAnsi="Times New Roman" w:cs="Times New Roman"/>
          <w:sz w:val="24"/>
          <w:szCs w:val="24"/>
        </w:rPr>
        <w:t>зиране на стратегии за ВОМР“. В резултат на извършените промени в бюджета се извършват промени и в индикаторите по СВОМР.</w:t>
      </w:r>
    </w:p>
    <w:p w:rsidR="001D6DEA" w:rsidRPr="007D5C84" w:rsidRDefault="001D6DEA" w:rsidP="00955A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изходен индикатор „</w:t>
      </w:r>
      <w:r w:rsidRPr="001D6DEA">
        <w:rPr>
          <w:rFonts w:ascii="Times New Roman" w:hAnsi="Times New Roman" w:cs="Times New Roman"/>
          <w:sz w:val="24"/>
          <w:szCs w:val="24"/>
        </w:rPr>
        <w:t>Проекти, финансирани по СМР</w:t>
      </w:r>
      <w:r>
        <w:rPr>
          <w:rFonts w:ascii="Times New Roman" w:hAnsi="Times New Roman" w:cs="Times New Roman"/>
          <w:sz w:val="24"/>
          <w:szCs w:val="24"/>
        </w:rPr>
        <w:t xml:space="preserve">“ с целева стойност 39 проекта </w:t>
      </w:r>
      <w:r w:rsidR="00E33EA7">
        <w:rPr>
          <w:rFonts w:ascii="Times New Roman" w:hAnsi="Times New Roman" w:cs="Times New Roman"/>
          <w:sz w:val="24"/>
          <w:szCs w:val="24"/>
        </w:rPr>
        <w:t xml:space="preserve">не се предвиждат промени въпреки увеличението на бюджета. На етап програмиране на СВОМР е заложена завишена стойност на бр. проекти, тъй като </w:t>
      </w:r>
      <w:r w:rsidR="002C5841">
        <w:rPr>
          <w:rFonts w:ascii="Times New Roman" w:hAnsi="Times New Roman" w:cs="Times New Roman"/>
          <w:sz w:val="24"/>
          <w:szCs w:val="24"/>
        </w:rPr>
        <w:t xml:space="preserve">СНЦ </w:t>
      </w:r>
      <w:r w:rsidR="00E33EA7">
        <w:rPr>
          <w:rFonts w:ascii="Times New Roman" w:hAnsi="Times New Roman" w:cs="Times New Roman"/>
          <w:sz w:val="24"/>
          <w:szCs w:val="24"/>
        </w:rPr>
        <w:t>„МИГ Брезово, Братя Даскалови“ имаше очаквания, че ще бъдат подавани повече на брой проекти, но с по-нисък размер на заявените разходи. В тази връзка в критериите за оценка по частните мерки 6.4. и 4.1. е предвидена и бонификация в точките, когато проектите са с по-ниски размери на допустимите разходи. Въпреки това реално по-голямата, част от подадените проекти  са на максимума на допустимите разходи за едно проектно предложение, което съответно рефлектира върху броят на проектите, които могат да бъдат финансирани. С допълнителният финансов ресурс от 799</w:t>
      </w:r>
      <w:r w:rsidR="00FC57AD">
        <w:rPr>
          <w:rFonts w:ascii="Times New Roman" w:hAnsi="Times New Roman" w:cs="Times New Roman"/>
          <w:sz w:val="24"/>
          <w:szCs w:val="24"/>
        </w:rPr>
        <w:t> </w:t>
      </w:r>
      <w:r w:rsidR="00E33EA7">
        <w:rPr>
          <w:rFonts w:ascii="Times New Roman" w:hAnsi="Times New Roman" w:cs="Times New Roman"/>
          <w:sz w:val="24"/>
          <w:szCs w:val="24"/>
        </w:rPr>
        <w:t>000</w:t>
      </w:r>
      <w:r w:rsidR="00FC57AD">
        <w:rPr>
          <w:rFonts w:ascii="Times New Roman" w:hAnsi="Times New Roman" w:cs="Times New Roman"/>
          <w:sz w:val="24"/>
          <w:szCs w:val="24"/>
        </w:rPr>
        <w:t>,00</w:t>
      </w:r>
      <w:r w:rsidR="00E33EA7">
        <w:rPr>
          <w:rFonts w:ascii="Times New Roman" w:hAnsi="Times New Roman" w:cs="Times New Roman"/>
          <w:sz w:val="24"/>
          <w:szCs w:val="24"/>
        </w:rPr>
        <w:t xml:space="preserve"> лв. ще се изпълни заложеният индикатор от 39 проекта.</w:t>
      </w:r>
    </w:p>
    <w:p w:rsidR="007D5C84" w:rsidRDefault="007D5C84" w:rsidP="00782C6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  <w:r w:rsidRPr="0081106D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1.</w:t>
      </w:r>
      <w:r w:rsidR="00782C6C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 xml:space="preserve"> </w:t>
      </w:r>
      <w:r w:rsidRPr="0081106D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Обосновка: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изходен индикатор </w:t>
      </w:r>
      <w:r w:rsidRPr="0081106D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„Общ обем на публичния принос“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стойността се променя от </w:t>
      </w:r>
      <w:r w:rsidRPr="000C3F34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2 933 хил. лева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на </w:t>
      </w:r>
      <w:r w:rsidRPr="000C3F34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3 732  хил. лева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. Промяната се извършва заради увеличаването бюджета на СВОМР с 799</w:t>
      </w:r>
      <w:r w:rsidR="00DE75CE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 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000</w:t>
      </w:r>
      <w:r w:rsidR="00DE75CE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,00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лв. в следствие на изменението на ПРСР 2014 – 2020 г. </w:t>
      </w:r>
    </w:p>
    <w:p w:rsidR="00955AA8" w:rsidRDefault="00955AA8" w:rsidP="00782C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82C6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Обосновка: </w:t>
      </w:r>
      <w:r w:rsidRPr="0049633D">
        <w:rPr>
          <w:rFonts w:ascii="Times New Roman" w:hAnsi="Times New Roman" w:cs="Times New Roman"/>
          <w:sz w:val="24"/>
          <w:szCs w:val="24"/>
        </w:rPr>
        <w:t>В изходен индикатор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33D">
        <w:rPr>
          <w:rFonts w:ascii="Times New Roman" w:hAnsi="Times New Roman" w:cs="Times New Roman"/>
          <w:b/>
          <w:i/>
          <w:sz w:val="24"/>
          <w:szCs w:val="24"/>
        </w:rPr>
        <w:t>„Проекти на публични бенефициенти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“ </w:t>
      </w:r>
      <w:r w:rsidRPr="0049633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заложена целева стойност „6“. В следствие на увеличението на бюджета на подмярка 7.2. се залага по-висока стойност на индикатора – „11“. След увеличението на бюджета очакваният брой на одобрените проекти по подмярка 7.2. е минимум 5. Успоредно с това по подмярка 7.4, 7.5. и 21 допустими кандидати са също публични бенефициенти, поради което се очаква цялостно повишаване на стойността по посоченият индикатор.</w:t>
      </w:r>
    </w:p>
    <w:p w:rsidR="00955AA8" w:rsidRDefault="00955AA8" w:rsidP="00782C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AA8">
        <w:rPr>
          <w:rFonts w:ascii="Times New Roman" w:hAnsi="Times New Roman" w:cs="Times New Roman"/>
          <w:b/>
          <w:sz w:val="24"/>
          <w:szCs w:val="24"/>
        </w:rPr>
        <w:t>3. Обосновка:</w:t>
      </w:r>
      <w:r>
        <w:rPr>
          <w:rFonts w:ascii="Times New Roman" w:hAnsi="Times New Roman" w:cs="Times New Roman"/>
          <w:sz w:val="24"/>
          <w:szCs w:val="24"/>
        </w:rPr>
        <w:t xml:space="preserve"> В индикатор за резултат </w:t>
      </w:r>
      <w:r w:rsidRPr="00B81CA9">
        <w:rPr>
          <w:rFonts w:ascii="Times New Roman" w:hAnsi="Times New Roman" w:cs="Times New Roman"/>
          <w:b/>
          <w:i/>
          <w:sz w:val="24"/>
          <w:szCs w:val="24"/>
        </w:rPr>
        <w:t>„Създаване на работни места“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CA9">
        <w:rPr>
          <w:rFonts w:ascii="Times New Roman" w:hAnsi="Times New Roman" w:cs="Times New Roman"/>
          <w:sz w:val="24"/>
          <w:szCs w:val="24"/>
        </w:rPr>
        <w:t xml:space="preserve">е заложена целева стойност „мин. 25“. В следствие на увеличаване на бюджета на подмярка 4.1. се залага по-висока стойност на индикатора „мин.30“. По подмярка 4.1. след проведените приеми </w:t>
      </w:r>
      <w:r w:rsidR="00967320">
        <w:rPr>
          <w:rFonts w:ascii="Times New Roman" w:hAnsi="Times New Roman" w:cs="Times New Roman"/>
          <w:sz w:val="24"/>
          <w:szCs w:val="24"/>
        </w:rPr>
        <w:t>на проекти от МИГ са одобрени общо 16 проекта. 9 проекта са предложени за финансиране и 7 проекта са включени в резервен списък с одобрени проекти. С увеличаване на бюджета на подмярка 4.1. с 399</w:t>
      </w:r>
      <w:r w:rsidR="00704594">
        <w:rPr>
          <w:rFonts w:ascii="Times New Roman" w:hAnsi="Times New Roman" w:cs="Times New Roman"/>
          <w:sz w:val="24"/>
          <w:szCs w:val="24"/>
        </w:rPr>
        <w:t> </w:t>
      </w:r>
      <w:r w:rsidR="00967320">
        <w:rPr>
          <w:rFonts w:ascii="Times New Roman" w:hAnsi="Times New Roman" w:cs="Times New Roman"/>
          <w:sz w:val="24"/>
          <w:szCs w:val="24"/>
        </w:rPr>
        <w:t>500</w:t>
      </w:r>
      <w:r w:rsidR="00704594">
        <w:rPr>
          <w:rFonts w:ascii="Times New Roman" w:hAnsi="Times New Roman" w:cs="Times New Roman"/>
          <w:sz w:val="24"/>
          <w:szCs w:val="24"/>
        </w:rPr>
        <w:t>,00</w:t>
      </w:r>
      <w:r w:rsidR="00967320">
        <w:rPr>
          <w:rFonts w:ascii="Times New Roman" w:hAnsi="Times New Roman" w:cs="Times New Roman"/>
          <w:sz w:val="24"/>
          <w:szCs w:val="24"/>
        </w:rPr>
        <w:t xml:space="preserve"> лв. ще се предостави възможност за финансиране на по-голямата част от резервните проектни предложения, което ще доведе и до разкриването на по-голямо количество работни места.</w:t>
      </w:r>
    </w:p>
    <w:p w:rsidR="00967320" w:rsidRPr="00C1669D" w:rsidRDefault="00782C6C" w:rsidP="00782C6C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  <w:lang w:val="en-US"/>
        </w:rPr>
      </w:pPr>
      <w:r w:rsidRPr="00782C6C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  <w:lang w:val="en-US"/>
        </w:rPr>
        <w:t xml:space="preserve">III.2. </w:t>
      </w:r>
      <w:r w:rsidRPr="00782C6C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>Промени в индикаторите</w:t>
      </w:r>
      <w:r w:rsidR="003F5165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>,</w:t>
      </w:r>
      <w:r w:rsidRPr="00782C6C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 xml:space="preserve"> свързани с отстраняването на очевидни грешки</w:t>
      </w:r>
      <w:r w:rsidR="00F76670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>.</w:t>
      </w:r>
    </w:p>
    <w:p w:rsidR="00967320" w:rsidRDefault="00782C6C" w:rsidP="007D5C84">
      <w:pPr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ab/>
      </w:r>
      <w:r w:rsidRPr="005E1565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Правно основание:</w:t>
      </w:r>
      <w:r w:rsidRPr="0081106D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Предложените промени са допустими и се извършват на основание чл. 39, т.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2</w:t>
      </w:r>
      <w:r w:rsidRPr="0081106D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от Наредба №22 от 14.12.2015 г. за прилагане на Подмярка 19.2. от ПРСР 2014 – 2020 г.</w:t>
      </w:r>
      <w:r w:rsidRPr="008110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C2A">
        <w:rPr>
          <w:rFonts w:ascii="Times New Roman" w:hAnsi="Times New Roman" w:cs="Times New Roman"/>
          <w:i/>
          <w:sz w:val="24"/>
          <w:szCs w:val="24"/>
        </w:rPr>
        <w:t>„След подписване на споразумението промяна в стратегията за ВОМР се допуска само:</w:t>
      </w:r>
      <w:r>
        <w:rPr>
          <w:rFonts w:ascii="Times New Roman" w:hAnsi="Times New Roman" w:cs="Times New Roman"/>
          <w:i/>
          <w:sz w:val="24"/>
          <w:szCs w:val="24"/>
        </w:rPr>
        <w:t xml:space="preserve"> 2. При наличие на очевидна грешка“</w:t>
      </w:r>
    </w:p>
    <w:p w:rsidR="007D5C84" w:rsidRDefault="007D5C84" w:rsidP="00782C6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  <w:r w:rsidRPr="005E1565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1. Обосновка: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В изходен индикатор </w:t>
      </w:r>
      <w:r w:rsidRPr="005E1565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EFEFE"/>
        </w:rPr>
        <w:t xml:space="preserve">„Подкрепени новосъздадени </w:t>
      </w:r>
      <w:proofErr w:type="spellStart"/>
      <w:r w:rsidRPr="005E1565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EFEFE"/>
        </w:rPr>
        <w:t>микропредприятия</w:t>
      </w:r>
      <w:proofErr w:type="spellEnd"/>
      <w:r w:rsidRPr="005E1565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EFEFE"/>
        </w:rPr>
        <w:t>“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при последното форматиране на текста и подаването на СВОМ</w:t>
      </w:r>
      <w:r w:rsidR="000E7D03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Р при кандидатстването през 2016 г.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е допусната очевидна грешка, не е попълнена целева стойност по пос</w:t>
      </w:r>
      <w:r w:rsidR="009D124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очения индикатор. С извършеното</w:t>
      </w:r>
      <w:r w:rsidR="000E7D03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допълнение </w:t>
      </w:r>
      <w:r w:rsidR="000640A0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се коригира явната грешка и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се</w:t>
      </w:r>
      <w:r w:rsidR="0028549D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посочва целева стойност „</w:t>
      </w:r>
      <w:r w:rsidR="003578BC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минимум </w:t>
      </w:r>
      <w:r w:rsidR="0028549D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lastRenderedPageBreak/>
        <w:t>1</w:t>
      </w:r>
      <w:r w:rsidR="000E7D03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“, каквато е била заложена в одобрената на 25.05.2016 г. от ОС на „МИГ Брезово, Братя Даскалови“ СВОМР.</w:t>
      </w:r>
      <w:r w:rsidR="0028549D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Посоченият индикатор пряко реферира към индикаторите по подмярка 6.4.</w:t>
      </w:r>
      <w:r w:rsidR="003578BC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, тъй като по нея допустими кандидати са новосъздадени </w:t>
      </w:r>
      <w:proofErr w:type="spellStart"/>
      <w:r w:rsidR="003578BC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микропредприятия</w:t>
      </w:r>
      <w:proofErr w:type="spellEnd"/>
      <w:r w:rsidR="003578BC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. В индикаторите по подмярка 6.4. в раздел 9, подраздел 9.2. от СВОМР индикатор </w:t>
      </w:r>
      <w:r w:rsidR="003578BC" w:rsidRPr="003578BC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EFEFE"/>
        </w:rPr>
        <w:t xml:space="preserve">„Новосъздадени </w:t>
      </w:r>
      <w:proofErr w:type="spellStart"/>
      <w:r w:rsidR="003578BC" w:rsidRPr="003578BC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EFEFE"/>
        </w:rPr>
        <w:t>микропредприятия</w:t>
      </w:r>
      <w:proofErr w:type="spellEnd"/>
      <w:r w:rsidR="003578BC" w:rsidRPr="003578BC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EFEFE"/>
        </w:rPr>
        <w:t>“</w:t>
      </w:r>
      <w:r w:rsidR="003578BC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е заложен с целева стойност „минимум 1“. Не се предвиждат допълнителни средства по подмярка 6.4., поради което стойността на индикатора остава непроменена. </w:t>
      </w:r>
    </w:p>
    <w:p w:rsidR="000E7D03" w:rsidRDefault="00782C6C" w:rsidP="00782C6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E7D03" w:rsidRPr="005E1565">
        <w:rPr>
          <w:rFonts w:ascii="Times New Roman" w:hAnsi="Times New Roman" w:cs="Times New Roman"/>
          <w:b/>
          <w:sz w:val="24"/>
          <w:szCs w:val="24"/>
        </w:rPr>
        <w:t>. Обосновка:</w:t>
      </w:r>
      <w:r w:rsidR="000E7D03">
        <w:rPr>
          <w:rFonts w:ascii="Times New Roman" w:hAnsi="Times New Roman" w:cs="Times New Roman"/>
          <w:sz w:val="24"/>
          <w:szCs w:val="24"/>
        </w:rPr>
        <w:t xml:space="preserve"> </w:t>
      </w:r>
      <w:r w:rsidR="000E7D03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В изходен индикатор </w:t>
      </w:r>
      <w:r w:rsidR="000E7D03" w:rsidRPr="005E1565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EFEFE"/>
        </w:rPr>
        <w:t>„Подкрепени проекти за интегриран туризъм“</w:t>
      </w:r>
      <w:r w:rsidR="000E7D03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при последното форматиране на текста и подаването на СВОМР при кандидатстването през 2016 г. е допусната очевидна грешка, не е попълнена целева стойност по посочения индикатор. С </w:t>
      </w:r>
      <w:r w:rsidR="000640A0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извършеното</w:t>
      </w:r>
      <w:r w:rsidR="000E7D03" w:rsidRPr="000E7D03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допълнение </w:t>
      </w:r>
      <w:r w:rsidR="000640A0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се коригира явната грешка и </w:t>
      </w:r>
      <w:r w:rsidR="000E7D03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се посочва целева стойност „минимум 1“, </w:t>
      </w:r>
      <w:r w:rsidR="000E7D03" w:rsidRPr="000E7D03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каквато е била заложена в одобрената на 25.05.2016 г. от ОС на „МИГ Брезово, Братя Даскалови“ СВОМР.</w:t>
      </w:r>
    </w:p>
    <w:p w:rsidR="003B7F86" w:rsidRPr="005E1565" w:rsidRDefault="00F76670" w:rsidP="00F76670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3</w:t>
      </w:r>
      <w:r w:rsidR="003B7F86" w:rsidRPr="0099090C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. Обосновка:</w:t>
      </w:r>
      <w:r w:rsidR="003B7F86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В изходен индикатор </w:t>
      </w:r>
      <w:r w:rsidR="003B7F86" w:rsidRPr="005E1565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EFEFE"/>
        </w:rPr>
        <w:t>„</w:t>
      </w:r>
      <w:r w:rsidR="003B7F86" w:rsidRPr="0099090C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EFEFE"/>
        </w:rPr>
        <w:t>Проекти реализирани извън общинските центрове</w:t>
      </w:r>
      <w:r w:rsidR="003B7F86" w:rsidRPr="005E1565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EFEFE"/>
        </w:rPr>
        <w:t>“</w:t>
      </w:r>
      <w:r w:rsidR="003B7F86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при последното форматиране на текста и подаването на СВОМР при кандидатстването през 2016 е допусната очевидна грешка, не е попълнена целева стойност по посочения и</w:t>
      </w:r>
      <w:r w:rsidR="009D124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ндикатор. С извършеното</w:t>
      </w:r>
      <w:r w:rsidR="003B7F86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допълнение </w:t>
      </w:r>
      <w:r w:rsidR="000640A0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се коригира явната грешка и </w:t>
      </w:r>
      <w:r w:rsidR="003B7F86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се посочва целева стойност „20“, каквато е </w:t>
      </w:r>
      <w:r w:rsidR="003B7F86" w:rsidRPr="000E7D03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била заложена в одобрената на 25.05.2016 г. от ОС на „МИГ Брезово, Братя Даскалови“ СВОМР.</w:t>
      </w:r>
    </w:p>
    <w:p w:rsidR="003B7F86" w:rsidRDefault="00F76670" w:rsidP="00F76670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B7F86" w:rsidRPr="00B47A30">
        <w:rPr>
          <w:rFonts w:ascii="Times New Roman" w:hAnsi="Times New Roman" w:cs="Times New Roman"/>
          <w:b/>
          <w:sz w:val="24"/>
          <w:szCs w:val="24"/>
        </w:rPr>
        <w:t>.</w:t>
      </w:r>
      <w:r w:rsidR="003B7F86">
        <w:rPr>
          <w:rFonts w:ascii="Times New Roman" w:hAnsi="Times New Roman" w:cs="Times New Roman"/>
          <w:sz w:val="24"/>
          <w:szCs w:val="24"/>
        </w:rPr>
        <w:t xml:space="preserve"> </w:t>
      </w:r>
      <w:r w:rsidR="003B7F86" w:rsidRPr="0099090C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Обосновка:</w:t>
      </w:r>
      <w:r w:rsidR="003B7F86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В </w:t>
      </w:r>
      <w:r w:rsidR="00C1669D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изходен </w:t>
      </w:r>
      <w:r w:rsidR="003B7F86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индикатор </w:t>
      </w:r>
      <w:r w:rsidR="003B7F86" w:rsidRPr="005E1565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EFEFE"/>
        </w:rPr>
        <w:t>„</w:t>
      </w:r>
      <w:r w:rsidR="003B7F86" w:rsidRPr="00B47A30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EFEFE"/>
        </w:rPr>
        <w:t>Проекти на частни бенефициенти</w:t>
      </w:r>
      <w:r w:rsidR="003B7F86" w:rsidRPr="005E1565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EFEFE"/>
        </w:rPr>
        <w:t>“</w:t>
      </w:r>
      <w:r w:rsidR="003B7F86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при последното форматиране на текста и подаването</w:t>
      </w:r>
      <w:r w:rsidR="002C3E10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на СВОМР при кандидатстването през 2016 г.</w:t>
      </w:r>
      <w:r w:rsidR="003B7F86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е допусната очевидна грешка, не е попълнена целева стойност по пос</w:t>
      </w:r>
      <w:r w:rsidR="009D124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очения индикатор. С извършеното допълнение</w:t>
      </w:r>
      <w:r w:rsidR="002C3E10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r w:rsidR="000640A0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се коригира явната грешка и </w:t>
      </w:r>
      <w:r w:rsidR="002C3E10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се посочва целева стойност „28</w:t>
      </w:r>
      <w:r w:rsidR="003B7F86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“.</w:t>
      </w:r>
      <w:r w:rsidR="002C3E10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В индикатор  </w:t>
      </w:r>
      <w:r w:rsidR="002C3E10" w:rsidRPr="00F76670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EFEFE"/>
        </w:rPr>
        <w:t>„Проекти, финансирани по СМР“</w:t>
      </w:r>
      <w:r w:rsidR="002C3E10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е заложена стойност 39. Индикатор </w:t>
      </w:r>
      <w:r w:rsidR="002C3E10" w:rsidRPr="00F76670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EFEFE"/>
        </w:rPr>
        <w:t>„Проекти на публични бенефициенти“</w:t>
      </w:r>
      <w:r w:rsidR="002C3E10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се увеличава от 6 на 11, поради което индикатор </w:t>
      </w:r>
      <w:r w:rsidR="002C3E10" w:rsidRPr="005E1565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EFEFE"/>
        </w:rPr>
        <w:t>„</w:t>
      </w:r>
      <w:r w:rsidR="002C3E10" w:rsidRPr="00B47A30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EFEFE"/>
        </w:rPr>
        <w:t>Проекти на частни бенефициенти</w:t>
      </w:r>
      <w:r w:rsidR="002C3E10" w:rsidRPr="005E1565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EFEFE"/>
        </w:rPr>
        <w:t>“</w:t>
      </w:r>
      <w:r w:rsidR="002C3E10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EFEFE"/>
        </w:rPr>
        <w:t xml:space="preserve"> </w:t>
      </w:r>
      <w:r w:rsidR="002C3E10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се залага с целева стойност 28. </w:t>
      </w:r>
    </w:p>
    <w:p w:rsidR="00147E34" w:rsidRPr="00DB6D21" w:rsidRDefault="00C1669D" w:rsidP="00BE5D4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  <w:r w:rsidRPr="002404B9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val="en-US"/>
        </w:rPr>
        <w:t xml:space="preserve">5. </w:t>
      </w:r>
      <w:r w:rsidRPr="002404B9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Обосновка: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r w:rsidR="004A6E8F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В индикатор за резултат </w:t>
      </w:r>
      <w:r w:rsidR="004A6E8F" w:rsidRPr="004A6E8F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EFEFE"/>
        </w:rPr>
        <w:t>„Население от територията, което се ползва от подобрени услуги“</w:t>
      </w:r>
      <w:r w:rsidR="004A6E8F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в %</w:t>
      </w:r>
      <w:r w:rsidR="004A6E8F" w:rsidRPr="004A6E8F">
        <w:t xml:space="preserve"> </w:t>
      </w:r>
      <w:r w:rsidR="004A6E8F" w:rsidRPr="004A6E8F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при последното форматиране на текста и подаването на СВОМР при кандидатстването през 2016 г. е допусната очевидна грешка, не е попълнена целева стойност по посочения индикатор.</w:t>
      </w:r>
      <w:r w:rsidR="000640A0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С извършеното допълнение се коригира явната грешка</w:t>
      </w:r>
      <w:r w:rsidR="0077404D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и се посочва целева стойност 10%, </w:t>
      </w:r>
      <w:r w:rsidR="0077404D" w:rsidRPr="0077404D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каквато е била заложена в одобрената на 25.05.2016 г. от ОС на „МИГ Брезово, Братя Даскалови“ СВОМР.</w:t>
      </w:r>
    </w:p>
    <w:p w:rsidR="003135FD" w:rsidRPr="00482EBA" w:rsidRDefault="005B711B" w:rsidP="00482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A1B7C" w:rsidRPr="00581C2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6A1B7C" w:rsidRPr="0058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5FD" w:rsidRPr="003135FD">
        <w:rPr>
          <w:rFonts w:ascii="Times New Roman" w:hAnsi="Times New Roman" w:cs="Times New Roman"/>
          <w:b/>
          <w:sz w:val="24"/>
          <w:szCs w:val="24"/>
        </w:rPr>
        <w:t>В раздел 9. Индикатори за мониторинг и оценка, подраздел 9.2. Индикатори по мерки</w:t>
      </w:r>
      <w:r w:rsidR="00D92C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D92CC4">
        <w:rPr>
          <w:rFonts w:ascii="Times New Roman" w:hAnsi="Times New Roman" w:cs="Times New Roman"/>
          <w:b/>
          <w:sz w:val="24"/>
          <w:szCs w:val="24"/>
        </w:rPr>
        <w:t>индикатори по мярка 4.1.</w:t>
      </w:r>
      <w:r w:rsidR="003135FD" w:rsidRPr="00313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B7C" w:rsidRPr="00581C2A">
        <w:rPr>
          <w:rFonts w:ascii="Times New Roman" w:hAnsi="Times New Roman" w:cs="Times New Roman"/>
          <w:b/>
          <w:sz w:val="24"/>
          <w:szCs w:val="24"/>
        </w:rPr>
        <w:t>се правят следните изменения и допълнения:</w:t>
      </w:r>
    </w:p>
    <w:p w:rsidR="00482EBA" w:rsidRDefault="00482EBA" w:rsidP="00BF7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2389"/>
        <w:gridCol w:w="1134"/>
        <w:gridCol w:w="1418"/>
        <w:gridCol w:w="1701"/>
        <w:gridCol w:w="2551"/>
      </w:tblGrid>
      <w:tr w:rsidR="00BF780C" w:rsidRPr="003135FD" w:rsidTr="007655BA">
        <w:tc>
          <w:tcPr>
            <w:tcW w:w="10456" w:type="dxa"/>
            <w:gridSpan w:val="6"/>
            <w:shd w:val="clear" w:color="auto" w:fill="E6E6E6"/>
          </w:tcPr>
          <w:p w:rsidR="00BF780C" w:rsidRPr="003135FD" w:rsidRDefault="00BF780C" w:rsidP="00765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135FD">
              <w:rPr>
                <w:rFonts w:ascii="Times New Roman" w:eastAsia="Times New Roman" w:hAnsi="Times New Roman" w:cs="Times New Roman"/>
                <w:b/>
                <w:lang w:eastAsia="bg-BG"/>
              </w:rPr>
              <w:t>ИНДИКАТОРИ ПО МЯРКA 4.1 ОТ СВОМР</w:t>
            </w:r>
          </w:p>
        </w:tc>
      </w:tr>
      <w:tr w:rsidR="00BF780C" w:rsidRPr="003135FD" w:rsidTr="00BF780C">
        <w:tc>
          <w:tcPr>
            <w:tcW w:w="1263" w:type="dxa"/>
            <w:vMerge w:val="restart"/>
            <w:vAlign w:val="center"/>
          </w:tcPr>
          <w:p w:rsidR="00BF780C" w:rsidRPr="00BF780C" w:rsidRDefault="00BF780C" w:rsidP="007655BA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F7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Вид индикатор</w:t>
            </w:r>
          </w:p>
        </w:tc>
        <w:tc>
          <w:tcPr>
            <w:tcW w:w="2389" w:type="dxa"/>
            <w:vMerge w:val="restart"/>
          </w:tcPr>
          <w:p w:rsidR="00BF780C" w:rsidRPr="00BF780C" w:rsidRDefault="00BF780C" w:rsidP="007655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F7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Индикатор</w:t>
            </w:r>
          </w:p>
        </w:tc>
        <w:tc>
          <w:tcPr>
            <w:tcW w:w="1134" w:type="dxa"/>
            <w:vMerge w:val="restart"/>
          </w:tcPr>
          <w:p w:rsidR="00BF780C" w:rsidRPr="00BF780C" w:rsidRDefault="00BF780C" w:rsidP="007655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F7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Мерна единица</w:t>
            </w:r>
          </w:p>
        </w:tc>
        <w:tc>
          <w:tcPr>
            <w:tcW w:w="1418" w:type="dxa"/>
            <w:shd w:val="clear" w:color="auto" w:fill="92D050"/>
          </w:tcPr>
          <w:p w:rsidR="00BF780C" w:rsidRPr="00BF780C" w:rsidRDefault="00BF780C" w:rsidP="007655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F7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БИЛО</w:t>
            </w:r>
          </w:p>
        </w:tc>
        <w:tc>
          <w:tcPr>
            <w:tcW w:w="1701" w:type="dxa"/>
            <w:shd w:val="clear" w:color="auto" w:fill="FFFF00"/>
          </w:tcPr>
          <w:p w:rsidR="00BF780C" w:rsidRPr="00BF780C" w:rsidRDefault="00BF780C" w:rsidP="007655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F7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СТАВА</w:t>
            </w:r>
          </w:p>
        </w:tc>
        <w:tc>
          <w:tcPr>
            <w:tcW w:w="2551" w:type="dxa"/>
            <w:vMerge w:val="restart"/>
          </w:tcPr>
          <w:p w:rsidR="00BF780C" w:rsidRPr="00BF780C" w:rsidRDefault="00BF780C" w:rsidP="007655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F7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Източник на информация</w:t>
            </w:r>
          </w:p>
        </w:tc>
      </w:tr>
      <w:tr w:rsidR="00BF780C" w:rsidRPr="003135FD" w:rsidTr="00BF780C">
        <w:tc>
          <w:tcPr>
            <w:tcW w:w="1263" w:type="dxa"/>
            <w:vMerge/>
            <w:vAlign w:val="center"/>
          </w:tcPr>
          <w:p w:rsidR="00BF780C" w:rsidRPr="00BF780C" w:rsidRDefault="00BF780C" w:rsidP="007655BA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389" w:type="dxa"/>
            <w:vMerge/>
          </w:tcPr>
          <w:p w:rsidR="00BF780C" w:rsidRPr="00BF780C" w:rsidRDefault="00BF780C" w:rsidP="007655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Merge/>
          </w:tcPr>
          <w:p w:rsidR="00BF780C" w:rsidRPr="00BF780C" w:rsidRDefault="00BF780C" w:rsidP="007655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gridSpan w:val="2"/>
          </w:tcPr>
          <w:p w:rsidR="00BF780C" w:rsidRPr="00BF780C" w:rsidRDefault="00BF780C" w:rsidP="007655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F7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Цел до края на стратегията</w:t>
            </w:r>
          </w:p>
        </w:tc>
        <w:tc>
          <w:tcPr>
            <w:tcW w:w="2551" w:type="dxa"/>
            <w:vMerge/>
          </w:tcPr>
          <w:p w:rsidR="00BF780C" w:rsidRPr="00BF780C" w:rsidRDefault="00BF780C" w:rsidP="007655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BF780C" w:rsidRPr="003135FD" w:rsidTr="00BF780C">
        <w:trPr>
          <w:trHeight w:val="343"/>
        </w:trPr>
        <w:tc>
          <w:tcPr>
            <w:tcW w:w="1263" w:type="dxa"/>
            <w:vMerge w:val="restart"/>
            <w:vAlign w:val="center"/>
          </w:tcPr>
          <w:p w:rsidR="00BF780C" w:rsidRPr="00BF780C" w:rsidRDefault="00BF780C" w:rsidP="007655BA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8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Изходен</w:t>
            </w:r>
          </w:p>
        </w:tc>
        <w:tc>
          <w:tcPr>
            <w:tcW w:w="2389" w:type="dxa"/>
          </w:tcPr>
          <w:p w:rsidR="00BF780C" w:rsidRPr="00BF780C" w:rsidRDefault="00BF780C" w:rsidP="007655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  <w:r w:rsidRPr="00BF78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 проекти, финансирани по мярката</w:t>
            </w:r>
          </w:p>
        </w:tc>
        <w:tc>
          <w:tcPr>
            <w:tcW w:w="1134" w:type="dxa"/>
          </w:tcPr>
          <w:p w:rsidR="00BF780C" w:rsidRPr="00BF780C" w:rsidRDefault="00BF780C" w:rsidP="007655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8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418" w:type="dxa"/>
          </w:tcPr>
          <w:p w:rsidR="00BF780C" w:rsidRPr="00BF780C" w:rsidRDefault="00BF780C" w:rsidP="007655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8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701" w:type="dxa"/>
          </w:tcPr>
          <w:p w:rsidR="00BF780C" w:rsidRPr="00BF780C" w:rsidRDefault="00BF780C" w:rsidP="007655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8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2551" w:type="dxa"/>
          </w:tcPr>
          <w:p w:rsidR="00BF780C" w:rsidRPr="00BF780C" w:rsidRDefault="00BF780C" w:rsidP="007655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8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База данни на МИГ</w:t>
            </w:r>
          </w:p>
          <w:p w:rsidR="00BF780C" w:rsidRPr="00BF780C" w:rsidRDefault="00BF780C" w:rsidP="007655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Сключени договори и изпълнени проекти – </w:t>
            </w:r>
            <w:r w:rsidRPr="00BF78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проектни досиета</w:t>
            </w:r>
            <w:r w:rsidRPr="00BF78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BF780C" w:rsidRPr="003135FD" w:rsidTr="00BF780C">
        <w:tc>
          <w:tcPr>
            <w:tcW w:w="1263" w:type="dxa"/>
            <w:vMerge/>
            <w:vAlign w:val="center"/>
          </w:tcPr>
          <w:p w:rsidR="00BF780C" w:rsidRPr="00BF780C" w:rsidRDefault="00BF780C" w:rsidP="007655BA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89" w:type="dxa"/>
          </w:tcPr>
          <w:p w:rsidR="00BF780C" w:rsidRPr="00BF780C" w:rsidRDefault="00BF780C" w:rsidP="007655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8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 бенефициенти, подпомогнати по мярката</w:t>
            </w:r>
          </w:p>
        </w:tc>
        <w:tc>
          <w:tcPr>
            <w:tcW w:w="1134" w:type="dxa"/>
          </w:tcPr>
          <w:p w:rsidR="00BF780C" w:rsidRPr="00BF780C" w:rsidRDefault="00BF780C" w:rsidP="007655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8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418" w:type="dxa"/>
          </w:tcPr>
          <w:p w:rsidR="00BF780C" w:rsidRPr="00BF780C" w:rsidRDefault="00BF780C" w:rsidP="007655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8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701" w:type="dxa"/>
          </w:tcPr>
          <w:p w:rsidR="00BF780C" w:rsidRPr="00BF780C" w:rsidRDefault="00BF780C" w:rsidP="007655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8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2551" w:type="dxa"/>
          </w:tcPr>
          <w:p w:rsidR="00BF780C" w:rsidRPr="00BF780C" w:rsidRDefault="00BF780C" w:rsidP="007655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8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База данни на МИГ</w:t>
            </w:r>
          </w:p>
        </w:tc>
      </w:tr>
      <w:tr w:rsidR="00BF780C" w:rsidRPr="003135FD" w:rsidTr="00BF780C">
        <w:tc>
          <w:tcPr>
            <w:tcW w:w="1263" w:type="dxa"/>
            <w:vMerge/>
            <w:vAlign w:val="center"/>
          </w:tcPr>
          <w:p w:rsidR="00BF780C" w:rsidRPr="00BF780C" w:rsidRDefault="00BF780C" w:rsidP="007655BA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89" w:type="dxa"/>
            <w:vAlign w:val="center"/>
          </w:tcPr>
          <w:p w:rsidR="00BF780C" w:rsidRPr="00BF780C" w:rsidRDefault="00BF780C" w:rsidP="007655BA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bg-BG"/>
              </w:rPr>
            </w:pPr>
            <w:r w:rsidRPr="00BF78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 обем на инвестициите </w:t>
            </w:r>
          </w:p>
        </w:tc>
        <w:tc>
          <w:tcPr>
            <w:tcW w:w="1134" w:type="dxa"/>
            <w:vAlign w:val="center"/>
          </w:tcPr>
          <w:p w:rsidR="00BF780C" w:rsidRPr="00BF780C" w:rsidRDefault="00BF780C" w:rsidP="007655BA">
            <w:pPr>
              <w:keepNext/>
              <w:tabs>
                <w:tab w:val="left" w:pos="1780"/>
              </w:tabs>
              <w:spacing w:after="0"/>
              <w:ind w:right="94" w:firstLine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8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Лв.</w:t>
            </w:r>
          </w:p>
        </w:tc>
        <w:tc>
          <w:tcPr>
            <w:tcW w:w="1418" w:type="dxa"/>
            <w:vAlign w:val="center"/>
          </w:tcPr>
          <w:p w:rsidR="00BF780C" w:rsidRPr="00BF780C" w:rsidRDefault="00BF780C" w:rsidP="007655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  <w:r w:rsidRPr="00BF780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690 000.00 лв.</w:t>
            </w:r>
          </w:p>
        </w:tc>
        <w:tc>
          <w:tcPr>
            <w:tcW w:w="1701" w:type="dxa"/>
            <w:vAlign w:val="center"/>
          </w:tcPr>
          <w:p w:rsidR="00BF780C" w:rsidRPr="00BF780C" w:rsidRDefault="00BF780C" w:rsidP="007655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  <w:r w:rsidRPr="00BF780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  <w:t>1 089 500,00 лв.</w:t>
            </w:r>
          </w:p>
        </w:tc>
        <w:tc>
          <w:tcPr>
            <w:tcW w:w="2551" w:type="dxa"/>
          </w:tcPr>
          <w:p w:rsidR="00BF780C" w:rsidRPr="00BF780C" w:rsidRDefault="00BF780C" w:rsidP="007655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8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Документи на проектите, отчети на бенефициентите, протоколи от извършени проверки</w:t>
            </w:r>
          </w:p>
        </w:tc>
      </w:tr>
      <w:tr w:rsidR="00BF780C" w:rsidRPr="003135FD" w:rsidTr="00BF780C">
        <w:tc>
          <w:tcPr>
            <w:tcW w:w="1263" w:type="dxa"/>
            <w:vMerge w:val="restart"/>
            <w:vAlign w:val="center"/>
          </w:tcPr>
          <w:p w:rsidR="00BF780C" w:rsidRPr="00BF780C" w:rsidRDefault="00BF780C" w:rsidP="007655BA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8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Резултат</w:t>
            </w:r>
          </w:p>
        </w:tc>
        <w:tc>
          <w:tcPr>
            <w:tcW w:w="2389" w:type="dxa"/>
            <w:vAlign w:val="center"/>
          </w:tcPr>
          <w:p w:rsidR="00BF780C" w:rsidRPr="0054041D" w:rsidRDefault="00BF780C" w:rsidP="007655BA"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highlight w:val="yellow"/>
                <w:lang w:eastAsia="bg-BG"/>
              </w:rPr>
            </w:pPr>
            <w:r w:rsidRPr="004E6A44">
              <w:rPr>
                <w:rFonts w:ascii="Times New Roman" w:eastAsia="MS Mincho" w:hAnsi="Times New Roman" w:cs="Times New Roman"/>
                <w:strike/>
                <w:sz w:val="20"/>
                <w:szCs w:val="20"/>
                <w:highlight w:val="yellow"/>
                <w:lang w:eastAsia="bg-BG"/>
              </w:rPr>
              <w:t>Общ брой на създадените работни места</w:t>
            </w:r>
            <w:r w:rsidR="0054041D" w:rsidRPr="0054041D">
              <w:rPr>
                <w:rFonts w:ascii="Times New Roman" w:eastAsia="MS Mincho" w:hAnsi="Times New Roman" w:cs="Times New Roman"/>
                <w:sz w:val="20"/>
                <w:szCs w:val="20"/>
                <w:highlight w:val="yellow"/>
                <w:lang w:val="en-US" w:eastAsia="bg-BG"/>
              </w:rPr>
              <w:t xml:space="preserve"> </w:t>
            </w:r>
            <w:r w:rsidR="0054041D" w:rsidRPr="0054041D">
              <w:rPr>
                <w:rFonts w:ascii="Times New Roman" w:eastAsia="MS Mincho" w:hAnsi="Times New Roman" w:cs="Times New Roman"/>
                <w:b/>
                <w:sz w:val="20"/>
                <w:szCs w:val="20"/>
                <w:highlight w:val="yellow"/>
                <w:lang w:eastAsia="bg-BG"/>
              </w:rPr>
              <w:t>ИНДИКАТОРЪТ СЕ ПРЕМАХВА.</w:t>
            </w:r>
          </w:p>
        </w:tc>
        <w:tc>
          <w:tcPr>
            <w:tcW w:w="1134" w:type="dxa"/>
            <w:vAlign w:val="center"/>
          </w:tcPr>
          <w:p w:rsidR="00BF780C" w:rsidRPr="004E6A44" w:rsidRDefault="00BF780C" w:rsidP="007655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bg-BG"/>
              </w:rPr>
            </w:pPr>
            <w:r w:rsidRPr="004E6A44"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bg-BG"/>
              </w:rPr>
              <w:t xml:space="preserve">Брой </w:t>
            </w:r>
          </w:p>
        </w:tc>
        <w:tc>
          <w:tcPr>
            <w:tcW w:w="1418" w:type="dxa"/>
            <w:vAlign w:val="center"/>
          </w:tcPr>
          <w:p w:rsidR="00BF780C" w:rsidRPr="004E6A44" w:rsidRDefault="00BF780C" w:rsidP="007655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</w:tcPr>
          <w:p w:rsidR="00BF780C" w:rsidRPr="004E6A44" w:rsidRDefault="00BF780C" w:rsidP="007655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551" w:type="dxa"/>
          </w:tcPr>
          <w:p w:rsidR="00BF780C" w:rsidRPr="004E6A44" w:rsidRDefault="00BF780C" w:rsidP="007655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bg-BG"/>
              </w:rPr>
            </w:pPr>
            <w:r w:rsidRPr="004E6A44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Сключени трудови или граждански договори</w:t>
            </w:r>
          </w:p>
        </w:tc>
      </w:tr>
      <w:tr w:rsidR="00BF780C" w:rsidRPr="003135FD" w:rsidTr="00BF780C">
        <w:tc>
          <w:tcPr>
            <w:tcW w:w="1263" w:type="dxa"/>
            <w:vMerge/>
            <w:vAlign w:val="center"/>
          </w:tcPr>
          <w:p w:rsidR="00BF780C" w:rsidRPr="00BF780C" w:rsidRDefault="00BF780C" w:rsidP="007655BA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89" w:type="dxa"/>
          </w:tcPr>
          <w:p w:rsidR="00BF780C" w:rsidRPr="00BF780C" w:rsidRDefault="00BF780C" w:rsidP="007655B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80C">
              <w:rPr>
                <w:rFonts w:ascii="Times New Roman" w:eastAsia="Calibri" w:hAnsi="Times New Roman" w:cs="Times New Roman"/>
                <w:sz w:val="20"/>
                <w:szCs w:val="20"/>
              </w:rPr>
              <w:t>Брой стопанства въвели нов продукт или технология</w:t>
            </w:r>
          </w:p>
        </w:tc>
        <w:tc>
          <w:tcPr>
            <w:tcW w:w="1134" w:type="dxa"/>
          </w:tcPr>
          <w:p w:rsidR="00BF780C" w:rsidRPr="00BF780C" w:rsidRDefault="00BF780C" w:rsidP="007655B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80C">
              <w:rPr>
                <w:rFonts w:ascii="Times New Roman" w:eastAsia="Calibri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</w:tcPr>
          <w:p w:rsidR="00BF780C" w:rsidRPr="00BF780C" w:rsidRDefault="00BF780C" w:rsidP="007655B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80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F780C" w:rsidRPr="00BF780C" w:rsidRDefault="00BF780C" w:rsidP="007655B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80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BF780C" w:rsidRPr="00BF780C" w:rsidRDefault="00BF780C" w:rsidP="007655B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80C">
              <w:rPr>
                <w:rFonts w:ascii="Times New Roman" w:eastAsia="Calibri" w:hAnsi="Times New Roman" w:cs="Times New Roman"/>
                <w:sz w:val="20"/>
                <w:szCs w:val="20"/>
              </w:rPr>
              <w:t>Одобрени проекти със съответната насоченост – проектни документи и досиета, доказателства за изпълнение.</w:t>
            </w:r>
          </w:p>
        </w:tc>
      </w:tr>
      <w:tr w:rsidR="00BF780C" w:rsidRPr="003135FD" w:rsidTr="00BF780C">
        <w:tc>
          <w:tcPr>
            <w:tcW w:w="1263" w:type="dxa"/>
            <w:vMerge/>
            <w:vAlign w:val="center"/>
          </w:tcPr>
          <w:p w:rsidR="00BF780C" w:rsidRPr="00BF780C" w:rsidRDefault="00BF780C" w:rsidP="007655BA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89" w:type="dxa"/>
            <w:vAlign w:val="center"/>
          </w:tcPr>
          <w:p w:rsidR="00BF780C" w:rsidRPr="00BF780C" w:rsidRDefault="00BF780C" w:rsidP="007655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80C">
              <w:rPr>
                <w:rFonts w:ascii="Times New Roman" w:eastAsia="Times New Roman" w:hAnsi="Times New Roman" w:cs="Times New Roman"/>
                <w:sz w:val="20"/>
                <w:szCs w:val="20"/>
              </w:rPr>
              <w:t>Брой създадени нови работни места</w:t>
            </w:r>
          </w:p>
        </w:tc>
        <w:tc>
          <w:tcPr>
            <w:tcW w:w="1134" w:type="dxa"/>
          </w:tcPr>
          <w:p w:rsidR="00BF780C" w:rsidRPr="00BF780C" w:rsidRDefault="00BF780C" w:rsidP="007655B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80C">
              <w:rPr>
                <w:rFonts w:ascii="Times New Roman" w:eastAsia="Calibri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418" w:type="dxa"/>
          </w:tcPr>
          <w:p w:rsidR="00BF780C" w:rsidRPr="00BF780C" w:rsidRDefault="00BF780C" w:rsidP="007655B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80C">
              <w:rPr>
                <w:rFonts w:ascii="Times New Roman" w:eastAsia="Calibri" w:hAnsi="Times New Roman" w:cs="Times New Roman"/>
                <w:sz w:val="20"/>
                <w:szCs w:val="20"/>
              </w:rPr>
              <w:t>Минимум 7</w:t>
            </w:r>
          </w:p>
        </w:tc>
        <w:tc>
          <w:tcPr>
            <w:tcW w:w="1701" w:type="dxa"/>
          </w:tcPr>
          <w:p w:rsidR="00BF780C" w:rsidRPr="00BF780C" w:rsidRDefault="005277E2" w:rsidP="007655B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7E2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Минимум</w:t>
            </w:r>
            <w:r w:rsidRPr="004E6A44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4E6A44" w:rsidRPr="004E6A44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2551" w:type="dxa"/>
          </w:tcPr>
          <w:p w:rsidR="00BF780C" w:rsidRPr="00BF780C" w:rsidRDefault="00BF780C" w:rsidP="006A7F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8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Сключени договори</w:t>
            </w:r>
          </w:p>
          <w:p w:rsidR="00BF780C" w:rsidRPr="00BF780C" w:rsidRDefault="00BF780C" w:rsidP="00BF78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8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Документи на проектите, отчети на бенефициентите, протоколи от извършени проверки</w:t>
            </w:r>
          </w:p>
        </w:tc>
      </w:tr>
      <w:tr w:rsidR="00BF780C" w:rsidRPr="003135FD" w:rsidTr="00BF780C">
        <w:tc>
          <w:tcPr>
            <w:tcW w:w="1263" w:type="dxa"/>
            <w:vMerge/>
            <w:vAlign w:val="center"/>
          </w:tcPr>
          <w:p w:rsidR="00BF780C" w:rsidRPr="00BF780C" w:rsidRDefault="00BF780C" w:rsidP="007655BA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89" w:type="dxa"/>
          </w:tcPr>
          <w:p w:rsidR="00BF780C" w:rsidRPr="00BF780C" w:rsidRDefault="00BF780C" w:rsidP="007655B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80C">
              <w:rPr>
                <w:rFonts w:ascii="Times New Roman" w:eastAsia="Calibri" w:hAnsi="Times New Roman" w:cs="Times New Roman"/>
                <w:sz w:val="20"/>
                <w:szCs w:val="20"/>
              </w:rPr>
              <w:t>Предприятия прилагащи биологичен начин на производство</w:t>
            </w:r>
          </w:p>
        </w:tc>
        <w:tc>
          <w:tcPr>
            <w:tcW w:w="1134" w:type="dxa"/>
          </w:tcPr>
          <w:p w:rsidR="00BF780C" w:rsidRPr="00BF780C" w:rsidRDefault="00BF780C" w:rsidP="007655B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8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Брой </w:t>
            </w:r>
          </w:p>
        </w:tc>
        <w:tc>
          <w:tcPr>
            <w:tcW w:w="1418" w:type="dxa"/>
          </w:tcPr>
          <w:p w:rsidR="00BF780C" w:rsidRPr="00BF780C" w:rsidRDefault="00BF780C" w:rsidP="007655B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80C">
              <w:rPr>
                <w:rFonts w:ascii="Times New Roman" w:eastAsia="Calibri" w:hAnsi="Times New Roman" w:cs="Times New Roman"/>
                <w:sz w:val="20"/>
                <w:szCs w:val="20"/>
              </w:rPr>
              <w:t>Мин 1</w:t>
            </w:r>
          </w:p>
        </w:tc>
        <w:tc>
          <w:tcPr>
            <w:tcW w:w="1701" w:type="dxa"/>
          </w:tcPr>
          <w:p w:rsidR="00BF780C" w:rsidRPr="00BF780C" w:rsidRDefault="00BF780C" w:rsidP="007655B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80C">
              <w:rPr>
                <w:rFonts w:ascii="Times New Roman" w:eastAsia="Calibri" w:hAnsi="Times New Roman" w:cs="Times New Roman"/>
                <w:sz w:val="20"/>
                <w:szCs w:val="20"/>
              </w:rPr>
              <w:t>Мин 1</w:t>
            </w:r>
          </w:p>
        </w:tc>
        <w:tc>
          <w:tcPr>
            <w:tcW w:w="2551" w:type="dxa"/>
          </w:tcPr>
          <w:p w:rsidR="00BF780C" w:rsidRPr="00BF780C" w:rsidRDefault="00BF780C" w:rsidP="007655B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80C">
              <w:rPr>
                <w:rFonts w:ascii="Times New Roman" w:eastAsia="Calibri" w:hAnsi="Times New Roman" w:cs="Times New Roman"/>
                <w:sz w:val="20"/>
                <w:szCs w:val="20"/>
              </w:rPr>
              <w:t>Одобрени проекти със съответната насоченост – проектни документи и досиета, доказателства за изпълнение.</w:t>
            </w:r>
          </w:p>
        </w:tc>
      </w:tr>
    </w:tbl>
    <w:p w:rsidR="00BF780C" w:rsidRPr="003F5165" w:rsidRDefault="00BF780C" w:rsidP="00482EB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A7F41" w:rsidRPr="00955AA8" w:rsidRDefault="006A7F41" w:rsidP="006A7F4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955AA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.1.</w:t>
      </w:r>
      <w:r w:rsidRPr="00955A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Промени в </w:t>
      </w:r>
      <w:r w:rsidRPr="00955AA8">
        <w:rPr>
          <w:rFonts w:ascii="Times New Roman" w:hAnsi="Times New Roman" w:cs="Times New Roman"/>
          <w:b/>
          <w:sz w:val="24"/>
          <w:szCs w:val="24"/>
          <w:u w:val="single"/>
        </w:rPr>
        <w:t>изходните индикатори и индикаторите за резултат произтичащи от увеличаването на бюджетна на СВОМР.</w:t>
      </w:r>
    </w:p>
    <w:p w:rsidR="006A7F41" w:rsidRDefault="00D92CC4" w:rsidP="00D92CC4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06D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Правно основание: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r w:rsidRPr="00581C2A">
        <w:rPr>
          <w:rFonts w:ascii="Times New Roman" w:hAnsi="Times New Roman" w:cs="Times New Roman"/>
          <w:sz w:val="24"/>
          <w:szCs w:val="24"/>
        </w:rPr>
        <w:t>Предложените промени</w:t>
      </w:r>
      <w:r w:rsidRPr="00032683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са допустими и</w:t>
      </w:r>
      <w:r w:rsidRPr="00581C2A">
        <w:rPr>
          <w:rFonts w:ascii="Times New Roman" w:hAnsi="Times New Roman" w:cs="Times New Roman"/>
          <w:sz w:val="24"/>
          <w:szCs w:val="24"/>
        </w:rPr>
        <w:t xml:space="preserve"> се извършват на основание чл. 39, т. 1 </w:t>
      </w:r>
      <w:r w:rsidRPr="00CE30EB">
        <w:rPr>
          <w:rFonts w:ascii="Times New Roman" w:hAnsi="Times New Roman" w:cs="Times New Roman"/>
          <w:sz w:val="24"/>
          <w:szCs w:val="24"/>
        </w:rPr>
        <w:t xml:space="preserve">от Наредба №22 от 14.12.2015 г. за прилагане на Подмярка 19.2. от ПРСР 2014 – 2020 г. </w:t>
      </w:r>
      <w:r w:rsidRPr="00581C2A">
        <w:rPr>
          <w:rFonts w:ascii="Times New Roman" w:hAnsi="Times New Roman" w:cs="Times New Roman"/>
          <w:i/>
          <w:sz w:val="24"/>
          <w:szCs w:val="24"/>
        </w:rPr>
        <w:t>„След подписване на споразумението промяна в стратегията за ВОМР се допуска само: 1. във връзка с промяна на приложимата нормативна уредба и/или във връзка с промяна на съответната програма;“</w:t>
      </w:r>
      <w:r w:rsidR="00955123" w:rsidRPr="00955123">
        <w:rPr>
          <w:rFonts w:ascii="Times New Roman" w:hAnsi="Times New Roman" w:cs="Times New Roman"/>
          <w:sz w:val="24"/>
          <w:szCs w:val="24"/>
        </w:rPr>
        <w:t xml:space="preserve"> Във връзка с изменение на Програмата за развитие на селски</w:t>
      </w:r>
      <w:r w:rsidR="00955123">
        <w:rPr>
          <w:rFonts w:ascii="Times New Roman" w:hAnsi="Times New Roman" w:cs="Times New Roman"/>
          <w:sz w:val="24"/>
          <w:szCs w:val="24"/>
        </w:rPr>
        <w:t xml:space="preserve">те райони 2014-2020 г., </w:t>
      </w:r>
      <w:r w:rsidR="00955123" w:rsidRPr="00955123">
        <w:rPr>
          <w:rFonts w:ascii="Times New Roman" w:hAnsi="Times New Roman" w:cs="Times New Roman"/>
          <w:sz w:val="24"/>
          <w:szCs w:val="24"/>
        </w:rPr>
        <w:t>се осигурява допълнително финансиране по подхода ВОМР за увеличаване бюджета на изпълняващите се стратегии с до 799</w:t>
      </w:r>
      <w:r w:rsidR="00BE5D42">
        <w:rPr>
          <w:rFonts w:ascii="Times New Roman" w:hAnsi="Times New Roman" w:cs="Times New Roman"/>
          <w:sz w:val="24"/>
          <w:szCs w:val="24"/>
        </w:rPr>
        <w:t> </w:t>
      </w:r>
      <w:r w:rsidR="00955123" w:rsidRPr="00955123">
        <w:rPr>
          <w:rFonts w:ascii="Times New Roman" w:hAnsi="Times New Roman" w:cs="Times New Roman"/>
          <w:sz w:val="24"/>
          <w:szCs w:val="24"/>
        </w:rPr>
        <w:t>000</w:t>
      </w:r>
      <w:r w:rsidR="00BE5D42">
        <w:rPr>
          <w:rFonts w:ascii="Times New Roman" w:hAnsi="Times New Roman" w:cs="Times New Roman"/>
          <w:sz w:val="24"/>
          <w:szCs w:val="24"/>
        </w:rPr>
        <w:t>,00</w:t>
      </w:r>
      <w:r w:rsidR="00955123" w:rsidRPr="00955123">
        <w:rPr>
          <w:rFonts w:ascii="Times New Roman" w:hAnsi="Times New Roman" w:cs="Times New Roman"/>
          <w:sz w:val="24"/>
          <w:szCs w:val="24"/>
        </w:rPr>
        <w:t xml:space="preserve"> лв. по подмярка 19.2 „Прилагане на операции в рамките на стратегии за Водено от общностите местно развитие“ и с до 114</w:t>
      </w:r>
      <w:r w:rsidR="00BE5D42">
        <w:rPr>
          <w:rFonts w:ascii="Times New Roman" w:hAnsi="Times New Roman" w:cs="Times New Roman"/>
          <w:sz w:val="24"/>
          <w:szCs w:val="24"/>
        </w:rPr>
        <w:t> </w:t>
      </w:r>
      <w:r w:rsidR="00955123" w:rsidRPr="00955123">
        <w:rPr>
          <w:rFonts w:ascii="Times New Roman" w:hAnsi="Times New Roman" w:cs="Times New Roman"/>
          <w:sz w:val="24"/>
          <w:szCs w:val="24"/>
        </w:rPr>
        <w:t>000</w:t>
      </w:r>
      <w:r w:rsidR="00BE5D42">
        <w:rPr>
          <w:rFonts w:ascii="Times New Roman" w:hAnsi="Times New Roman" w:cs="Times New Roman"/>
          <w:sz w:val="24"/>
          <w:szCs w:val="24"/>
        </w:rPr>
        <w:t>,00</w:t>
      </w:r>
      <w:r w:rsidR="00955123" w:rsidRPr="00955123">
        <w:rPr>
          <w:rFonts w:ascii="Times New Roman" w:hAnsi="Times New Roman" w:cs="Times New Roman"/>
          <w:sz w:val="24"/>
          <w:szCs w:val="24"/>
        </w:rPr>
        <w:t xml:space="preserve"> лв. по подмярка 19.4 „Текущи разходи и популяри</w:t>
      </w:r>
      <w:r w:rsidR="00955123">
        <w:rPr>
          <w:rFonts w:ascii="Times New Roman" w:hAnsi="Times New Roman" w:cs="Times New Roman"/>
          <w:sz w:val="24"/>
          <w:szCs w:val="24"/>
        </w:rPr>
        <w:t>зиране на стратегии за ВОМР“. В резултат на извършените промени в бюджета се извършват промени и в индикаторите по СВОМР.</w:t>
      </w:r>
    </w:p>
    <w:p w:rsidR="00D92CC4" w:rsidRPr="00D92CC4" w:rsidRDefault="00D92CC4" w:rsidP="007655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изходни индикатори </w:t>
      </w:r>
      <w:r w:rsidRPr="00D92CC4">
        <w:rPr>
          <w:rFonts w:ascii="Times New Roman" w:hAnsi="Times New Roman" w:cs="Times New Roman"/>
          <w:b/>
          <w:i/>
          <w:sz w:val="24"/>
          <w:szCs w:val="24"/>
        </w:rPr>
        <w:t>„Брой проекти, финансирани по мярката“</w:t>
      </w:r>
      <w:r>
        <w:rPr>
          <w:rFonts w:ascii="Times New Roman" w:hAnsi="Times New Roman" w:cs="Times New Roman"/>
          <w:sz w:val="24"/>
          <w:szCs w:val="24"/>
        </w:rPr>
        <w:t xml:space="preserve"> с целева стойност 16 и  </w:t>
      </w:r>
      <w:r w:rsidRPr="00D92CC4">
        <w:rPr>
          <w:rFonts w:ascii="Times New Roman" w:hAnsi="Times New Roman" w:cs="Times New Roman"/>
          <w:b/>
          <w:i/>
          <w:sz w:val="24"/>
          <w:szCs w:val="24"/>
        </w:rPr>
        <w:t>„Брой бенефициенти, подпомогнати по мярката“</w:t>
      </w:r>
      <w:r>
        <w:rPr>
          <w:rFonts w:ascii="Times New Roman" w:hAnsi="Times New Roman" w:cs="Times New Roman"/>
          <w:sz w:val="24"/>
          <w:szCs w:val="24"/>
        </w:rPr>
        <w:t xml:space="preserve"> с целева стойност 16</w:t>
      </w:r>
      <w:r w:rsidRPr="00D92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се предвиждат промени въпреки увеличението на бюджета. На етап програмиране на СВОМР е заложена завишена стойност на бр. проекти и бр. бенефициенти по подмярка 4.1., тъй като „МИГ Брезово, Братя Даскалови“ имаше очаквания, че ще бъдат подавани повече на брой проекти, но с по-нисък размер на заявените разходи. В тази връзка в критериите</w:t>
      </w:r>
      <w:r w:rsidR="001E71EE">
        <w:rPr>
          <w:rFonts w:ascii="Times New Roman" w:hAnsi="Times New Roman" w:cs="Times New Roman"/>
          <w:sz w:val="24"/>
          <w:szCs w:val="24"/>
        </w:rPr>
        <w:t xml:space="preserve"> за оценка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мярка 4.1. е предвидена и бонификация в точките, когато проектите са с по-ниски размери на допустимите разходи. Въпреки това реално по-голя</w:t>
      </w:r>
      <w:r w:rsidR="001E71EE">
        <w:rPr>
          <w:rFonts w:ascii="Times New Roman" w:hAnsi="Times New Roman" w:cs="Times New Roman"/>
          <w:sz w:val="24"/>
          <w:szCs w:val="24"/>
        </w:rPr>
        <w:t>мата</w:t>
      </w:r>
      <w:r>
        <w:rPr>
          <w:rFonts w:ascii="Times New Roman" w:hAnsi="Times New Roman" w:cs="Times New Roman"/>
          <w:sz w:val="24"/>
          <w:szCs w:val="24"/>
        </w:rPr>
        <w:t xml:space="preserve"> част от подадените проекти  са на максимума на допустимите разходи за едно проектно предложение, което съответно рефлектира върху броят на проектите, които могат да бъдат финансирани. С допълнителният финансов ресурс от 399</w:t>
      </w:r>
      <w:r w:rsidR="008018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500</w:t>
      </w:r>
      <w:r w:rsidR="0080180C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лв. ще се изпълнят заложените индикатори от 16 проекта и бенефициенти по подмярка 4.1.</w:t>
      </w:r>
    </w:p>
    <w:p w:rsidR="004E6A44" w:rsidRDefault="00482EBA" w:rsidP="004E6A4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  <w:r w:rsidRPr="00D92CC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92CC4" w:rsidRPr="00D92CC4">
        <w:rPr>
          <w:rFonts w:ascii="Times New Roman" w:hAnsi="Times New Roman" w:cs="Times New Roman"/>
          <w:b/>
          <w:sz w:val="24"/>
          <w:szCs w:val="24"/>
        </w:rPr>
        <w:t>Обосновка:</w:t>
      </w:r>
      <w:r w:rsidR="00D92CC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изходен индикатор </w:t>
      </w:r>
      <w:r w:rsidRPr="00D92CC4">
        <w:rPr>
          <w:rFonts w:ascii="Times New Roman" w:hAnsi="Times New Roman" w:cs="Times New Roman"/>
          <w:b/>
          <w:i/>
          <w:sz w:val="24"/>
          <w:szCs w:val="24"/>
        </w:rPr>
        <w:t>„Общ обем на инвестициите“</w:t>
      </w:r>
      <w:r w:rsidRPr="00482EBA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стойността се променя от </w:t>
      </w:r>
      <w:r w:rsidRPr="00D92CC4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690</w:t>
      </w:r>
      <w:r w:rsidR="00ED33A1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 </w:t>
      </w:r>
      <w:r w:rsidRPr="00D92CC4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000</w:t>
      </w:r>
      <w:r w:rsidR="00ED33A1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,00</w:t>
      </w:r>
      <w:r w:rsidRPr="00D92CC4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 xml:space="preserve"> лв.</w:t>
      </w:r>
      <w:r w:rsidRPr="00D92CC4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на </w:t>
      </w:r>
      <w:r w:rsidRPr="00D92CC4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1 089 500,00 лв.</w:t>
      </w:r>
      <w:r w:rsidR="00D92CC4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 xml:space="preserve"> </w:t>
      </w:r>
      <w:r w:rsidR="00D92CC4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Промяната се извършва заради увеличаването бюджета на мярка 4.1. с 399</w:t>
      </w:r>
      <w:r w:rsidR="00ED33A1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 </w:t>
      </w:r>
      <w:r w:rsidR="00D92CC4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500</w:t>
      </w:r>
      <w:r w:rsidR="00ED33A1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,00</w:t>
      </w:r>
      <w:r w:rsidR="00D92CC4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лв. в следствие на изменението на ПРСР 2014 – 2020 г. </w:t>
      </w:r>
    </w:p>
    <w:p w:rsidR="004E6A44" w:rsidRPr="004E6A44" w:rsidRDefault="005277E2" w:rsidP="004E6A4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  <w:r w:rsidRPr="005277E2">
        <w:rPr>
          <w:rFonts w:ascii="Times New Roman" w:hAnsi="Times New Roman" w:cs="Times New Roman"/>
          <w:b/>
          <w:sz w:val="24"/>
          <w:szCs w:val="24"/>
        </w:rPr>
        <w:t>2. Обосновка:</w:t>
      </w:r>
      <w:r>
        <w:rPr>
          <w:rFonts w:ascii="Times New Roman" w:hAnsi="Times New Roman" w:cs="Times New Roman"/>
          <w:sz w:val="24"/>
          <w:szCs w:val="24"/>
        </w:rPr>
        <w:t xml:space="preserve"> В индикатор за резултат </w:t>
      </w:r>
      <w:r w:rsidRPr="004E6A44">
        <w:rPr>
          <w:rFonts w:ascii="Times New Roman" w:hAnsi="Times New Roman" w:cs="Times New Roman"/>
          <w:b/>
          <w:i/>
          <w:sz w:val="24"/>
          <w:szCs w:val="24"/>
        </w:rPr>
        <w:t>„Брой създадени нови работни места“</w:t>
      </w:r>
      <w:r>
        <w:rPr>
          <w:rFonts w:ascii="Times New Roman" w:hAnsi="Times New Roman" w:cs="Times New Roman"/>
          <w:sz w:val="24"/>
          <w:szCs w:val="24"/>
        </w:rPr>
        <w:t xml:space="preserve"> е заложена целева стойност минимум 7. </w:t>
      </w:r>
      <w:r w:rsidR="004E6A44">
        <w:rPr>
          <w:rFonts w:ascii="Times New Roman" w:hAnsi="Times New Roman" w:cs="Times New Roman"/>
          <w:sz w:val="24"/>
          <w:szCs w:val="24"/>
        </w:rPr>
        <w:t>В следствие на увеличаване на бюджета на подмярка 4.1. се залага по-висока стойност на индикатора „минимум 12“. По подмярка 4.1. след проведените приеми на проекти от МИГ са одобрени общо 16 проекта. 9 проекта са предложени за финансиране и 7 проекта са включени в резервен списък с одобрени проекти. С увеличаване на бюджета на подмярка 4.1. с 399</w:t>
      </w:r>
      <w:r w:rsidR="00D45F3B">
        <w:rPr>
          <w:rFonts w:ascii="Times New Roman" w:hAnsi="Times New Roman" w:cs="Times New Roman"/>
          <w:sz w:val="24"/>
          <w:szCs w:val="24"/>
        </w:rPr>
        <w:t> </w:t>
      </w:r>
      <w:r w:rsidR="004E6A44">
        <w:rPr>
          <w:rFonts w:ascii="Times New Roman" w:hAnsi="Times New Roman" w:cs="Times New Roman"/>
          <w:sz w:val="24"/>
          <w:szCs w:val="24"/>
        </w:rPr>
        <w:t>500</w:t>
      </w:r>
      <w:r w:rsidR="00D45F3B">
        <w:rPr>
          <w:rFonts w:ascii="Times New Roman" w:hAnsi="Times New Roman" w:cs="Times New Roman"/>
          <w:sz w:val="24"/>
          <w:szCs w:val="24"/>
        </w:rPr>
        <w:t>,00</w:t>
      </w:r>
      <w:r w:rsidR="004E6A44">
        <w:rPr>
          <w:rFonts w:ascii="Times New Roman" w:hAnsi="Times New Roman" w:cs="Times New Roman"/>
          <w:sz w:val="24"/>
          <w:szCs w:val="24"/>
        </w:rPr>
        <w:t xml:space="preserve"> лв. ще се предостави възможност за финансиране на по-голямата част от резервните проектни предложения, което ще доведе и до разкриването на по-голямо количество работни места.</w:t>
      </w:r>
    </w:p>
    <w:p w:rsidR="004E6A44" w:rsidRPr="00C1669D" w:rsidRDefault="004E6A44" w:rsidP="004E6A44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  <w:lang w:val="en-US"/>
        </w:rPr>
        <w:t>IV</w:t>
      </w:r>
      <w:r w:rsidRPr="00782C6C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  <w:lang w:val="en-US"/>
        </w:rPr>
        <w:t xml:space="preserve">.2. </w:t>
      </w:r>
      <w:r w:rsidRPr="00782C6C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>Промени в индикаторите свързани с отстраняването на очевидни грешки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EFEFE"/>
        </w:rPr>
        <w:t>.</w:t>
      </w:r>
    </w:p>
    <w:p w:rsidR="004E6A44" w:rsidRDefault="004E6A44" w:rsidP="004E6A44">
      <w:pPr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ab/>
      </w:r>
      <w:r w:rsidRPr="005E1565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Правно основание:</w:t>
      </w:r>
      <w:r w:rsidRPr="0081106D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Предложените промени са допустими и се извършват на основание чл. 39, т.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2</w:t>
      </w:r>
      <w:r w:rsidRPr="0081106D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от Наредба №22 от 14.12.2015 г. за прилагане на Подмярка 19.2. от ПРСР 2014 – 2020 г.</w:t>
      </w:r>
      <w:r w:rsidRPr="008110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C2A">
        <w:rPr>
          <w:rFonts w:ascii="Times New Roman" w:hAnsi="Times New Roman" w:cs="Times New Roman"/>
          <w:i/>
          <w:sz w:val="24"/>
          <w:szCs w:val="24"/>
        </w:rPr>
        <w:t>„След подписване на споразумението промяна в стратегията за ВОМР се допуска само:</w:t>
      </w:r>
      <w:r>
        <w:rPr>
          <w:rFonts w:ascii="Times New Roman" w:hAnsi="Times New Roman" w:cs="Times New Roman"/>
          <w:i/>
          <w:sz w:val="24"/>
          <w:szCs w:val="24"/>
        </w:rPr>
        <w:t xml:space="preserve"> 2. При наличие на очевидна грешка“</w:t>
      </w:r>
    </w:p>
    <w:p w:rsidR="00147E34" w:rsidRPr="0054041D" w:rsidRDefault="0054041D" w:rsidP="00482E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04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Pr="0054041D">
        <w:rPr>
          <w:rFonts w:ascii="Times New Roman" w:hAnsi="Times New Roman" w:cs="Times New Roman"/>
          <w:b/>
          <w:sz w:val="24"/>
          <w:szCs w:val="24"/>
        </w:rPr>
        <w:t>Обосновка:</w:t>
      </w:r>
      <w:r>
        <w:rPr>
          <w:rFonts w:ascii="Times New Roman" w:hAnsi="Times New Roman" w:cs="Times New Roman"/>
          <w:sz w:val="24"/>
          <w:szCs w:val="24"/>
        </w:rPr>
        <w:t xml:space="preserve"> В индикаторите за резултат е допусната явна грешка. Включен е индикатор </w:t>
      </w:r>
      <w:r w:rsidRPr="0054041D">
        <w:rPr>
          <w:rFonts w:ascii="Times New Roman" w:hAnsi="Times New Roman" w:cs="Times New Roman"/>
          <w:b/>
          <w:i/>
          <w:sz w:val="24"/>
          <w:szCs w:val="24"/>
        </w:rPr>
        <w:t>„Общ брой на създадените работни места“</w:t>
      </w:r>
      <w:r>
        <w:rPr>
          <w:rFonts w:ascii="Times New Roman" w:hAnsi="Times New Roman" w:cs="Times New Roman"/>
          <w:sz w:val="24"/>
          <w:szCs w:val="24"/>
        </w:rPr>
        <w:t xml:space="preserve"> за който не е посочена целева стойност. Успоредно с това е включен и индикатор за резултат </w:t>
      </w:r>
      <w:r w:rsidRPr="0054041D">
        <w:rPr>
          <w:rFonts w:ascii="Times New Roman" w:hAnsi="Times New Roman" w:cs="Times New Roman"/>
          <w:b/>
          <w:i/>
          <w:sz w:val="24"/>
          <w:szCs w:val="24"/>
        </w:rPr>
        <w:t>„Брой създадени нови работни места“</w:t>
      </w:r>
      <w:r>
        <w:rPr>
          <w:rFonts w:ascii="Times New Roman" w:hAnsi="Times New Roman" w:cs="Times New Roman"/>
          <w:sz w:val="24"/>
          <w:szCs w:val="24"/>
        </w:rPr>
        <w:t xml:space="preserve"> с посочена целева стойност минимум 7. На практика двата индикатора се отнасят за едно и също нещо - създаване на работни места в резултат от финансираните проекти. С оглед на допуснатата очевидна грешка и дублиране на индикаторите, индикатор за</w:t>
      </w:r>
      <w:r w:rsidRPr="0054041D">
        <w:rPr>
          <w:rFonts w:ascii="Times New Roman" w:hAnsi="Times New Roman" w:cs="Times New Roman"/>
          <w:sz w:val="24"/>
          <w:szCs w:val="24"/>
        </w:rPr>
        <w:t xml:space="preserve"> резултат</w:t>
      </w:r>
      <w:r w:rsidRPr="0054041D">
        <w:rPr>
          <w:rFonts w:ascii="Times New Roman" w:hAnsi="Times New Roman" w:cs="Times New Roman"/>
          <w:b/>
          <w:i/>
          <w:sz w:val="24"/>
          <w:szCs w:val="24"/>
        </w:rPr>
        <w:t xml:space="preserve"> „Общ брой на създадените работни места“</w:t>
      </w:r>
      <w:r>
        <w:rPr>
          <w:rFonts w:ascii="Times New Roman" w:hAnsi="Times New Roman" w:cs="Times New Roman"/>
          <w:sz w:val="24"/>
          <w:szCs w:val="24"/>
        </w:rPr>
        <w:t xml:space="preserve"> се премахва.</w:t>
      </w:r>
    </w:p>
    <w:p w:rsidR="00794720" w:rsidRPr="00482EBA" w:rsidRDefault="00794720" w:rsidP="00794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81C2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81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35FD">
        <w:rPr>
          <w:rFonts w:ascii="Times New Roman" w:hAnsi="Times New Roman" w:cs="Times New Roman"/>
          <w:b/>
          <w:sz w:val="24"/>
          <w:szCs w:val="24"/>
        </w:rPr>
        <w:t>В раздел 9. Индикатори за мониторинг и оценка, подраздел 9.2. Индикатори по мерки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индикатори по мярка 7.2.</w:t>
      </w:r>
      <w:r w:rsidRPr="00313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C2A">
        <w:rPr>
          <w:rFonts w:ascii="Times New Roman" w:hAnsi="Times New Roman" w:cs="Times New Roman"/>
          <w:b/>
          <w:sz w:val="24"/>
          <w:szCs w:val="24"/>
        </w:rPr>
        <w:t>се правят следните изменения и допълнения: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2824"/>
        <w:gridCol w:w="1276"/>
        <w:gridCol w:w="1276"/>
        <w:gridCol w:w="1559"/>
        <w:gridCol w:w="2126"/>
      </w:tblGrid>
      <w:tr w:rsidR="00794720" w:rsidRPr="003135FD" w:rsidTr="007655BA">
        <w:tc>
          <w:tcPr>
            <w:tcW w:w="10314" w:type="dxa"/>
            <w:gridSpan w:val="6"/>
            <w:shd w:val="clear" w:color="auto" w:fill="E6E6E6"/>
          </w:tcPr>
          <w:p w:rsidR="00794720" w:rsidRPr="003135FD" w:rsidRDefault="00794720" w:rsidP="007655B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135FD">
              <w:rPr>
                <w:rFonts w:ascii="Times New Roman" w:eastAsia="Times New Roman" w:hAnsi="Times New Roman" w:cs="Times New Roman"/>
                <w:b/>
                <w:lang w:eastAsia="bg-BG"/>
              </w:rPr>
              <w:t>ИНДИКАТОРИ ПО МЯРКA 7.2 ОТ СМР</w:t>
            </w:r>
          </w:p>
        </w:tc>
      </w:tr>
      <w:tr w:rsidR="00794720" w:rsidRPr="003135FD" w:rsidTr="00482AED">
        <w:tc>
          <w:tcPr>
            <w:tcW w:w="1253" w:type="dxa"/>
            <w:vMerge w:val="restart"/>
            <w:vAlign w:val="center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94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Вид индикатор</w:t>
            </w:r>
          </w:p>
        </w:tc>
        <w:tc>
          <w:tcPr>
            <w:tcW w:w="2824" w:type="dxa"/>
            <w:vMerge w:val="restart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94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Индикатор</w:t>
            </w:r>
          </w:p>
        </w:tc>
        <w:tc>
          <w:tcPr>
            <w:tcW w:w="1276" w:type="dxa"/>
            <w:vMerge w:val="restart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94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Мерна единица</w:t>
            </w:r>
          </w:p>
        </w:tc>
        <w:tc>
          <w:tcPr>
            <w:tcW w:w="1276" w:type="dxa"/>
            <w:shd w:val="clear" w:color="auto" w:fill="92D050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94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БИЛО</w:t>
            </w:r>
          </w:p>
        </w:tc>
        <w:tc>
          <w:tcPr>
            <w:tcW w:w="1559" w:type="dxa"/>
            <w:shd w:val="clear" w:color="auto" w:fill="FFFF00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94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СТАВА</w:t>
            </w:r>
          </w:p>
        </w:tc>
        <w:tc>
          <w:tcPr>
            <w:tcW w:w="2126" w:type="dxa"/>
            <w:vMerge w:val="restart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94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Източник на информация</w:t>
            </w:r>
          </w:p>
        </w:tc>
      </w:tr>
      <w:tr w:rsidR="00794720" w:rsidRPr="003135FD" w:rsidTr="00482AED">
        <w:tc>
          <w:tcPr>
            <w:tcW w:w="1253" w:type="dxa"/>
            <w:vMerge/>
            <w:vAlign w:val="center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24" w:type="dxa"/>
            <w:vMerge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Merge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gridSpan w:val="2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94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Цел до края на стратегията</w:t>
            </w:r>
          </w:p>
        </w:tc>
        <w:tc>
          <w:tcPr>
            <w:tcW w:w="2126" w:type="dxa"/>
            <w:vMerge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794720" w:rsidRPr="003135FD" w:rsidTr="00482AED">
        <w:trPr>
          <w:trHeight w:val="343"/>
        </w:trPr>
        <w:tc>
          <w:tcPr>
            <w:tcW w:w="1253" w:type="dxa"/>
            <w:vMerge w:val="restart"/>
            <w:vAlign w:val="center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47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Изходен</w:t>
            </w:r>
          </w:p>
        </w:tc>
        <w:tc>
          <w:tcPr>
            <w:tcW w:w="2824" w:type="dxa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  <w:r w:rsidRPr="007947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 проекти, финансирани по мярката</w:t>
            </w:r>
          </w:p>
        </w:tc>
        <w:tc>
          <w:tcPr>
            <w:tcW w:w="1276" w:type="dxa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47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47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Минимум 4</w:t>
            </w:r>
          </w:p>
        </w:tc>
        <w:tc>
          <w:tcPr>
            <w:tcW w:w="1559" w:type="dxa"/>
          </w:tcPr>
          <w:p w:rsidR="00794720" w:rsidRPr="00794720" w:rsidRDefault="00794720" w:rsidP="00482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82AE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  <w:t xml:space="preserve">Минимум </w:t>
            </w:r>
            <w:r w:rsidR="00482AED" w:rsidRPr="00482AE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  <w:t>5</w:t>
            </w:r>
          </w:p>
        </w:tc>
        <w:tc>
          <w:tcPr>
            <w:tcW w:w="2126" w:type="dxa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47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База данни на МИГ </w:t>
            </w:r>
          </w:p>
        </w:tc>
      </w:tr>
      <w:tr w:rsidR="00794720" w:rsidRPr="003135FD" w:rsidTr="00482AED">
        <w:tc>
          <w:tcPr>
            <w:tcW w:w="1253" w:type="dxa"/>
            <w:vMerge/>
            <w:vAlign w:val="center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24" w:type="dxa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  <w:r w:rsidRPr="007947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 бенефициенти, подпомогнати по мярката</w:t>
            </w:r>
          </w:p>
        </w:tc>
        <w:tc>
          <w:tcPr>
            <w:tcW w:w="1276" w:type="dxa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47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47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59" w:type="dxa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47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26" w:type="dxa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47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База данни на МИГ</w:t>
            </w:r>
          </w:p>
        </w:tc>
      </w:tr>
      <w:tr w:rsidR="00794720" w:rsidRPr="003135FD" w:rsidTr="00482AED">
        <w:tc>
          <w:tcPr>
            <w:tcW w:w="1253" w:type="dxa"/>
            <w:vMerge/>
            <w:vAlign w:val="center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24" w:type="dxa"/>
            <w:vAlign w:val="center"/>
          </w:tcPr>
          <w:p w:rsidR="00794720" w:rsidRPr="00794720" w:rsidRDefault="00794720" w:rsidP="007655BA">
            <w:pPr>
              <w:spacing w:after="12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bg-BG"/>
              </w:rPr>
            </w:pPr>
            <w:r w:rsidRPr="007947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 обем на инвестициите </w:t>
            </w:r>
          </w:p>
        </w:tc>
        <w:tc>
          <w:tcPr>
            <w:tcW w:w="1276" w:type="dxa"/>
            <w:vAlign w:val="center"/>
          </w:tcPr>
          <w:p w:rsidR="00794720" w:rsidRPr="00794720" w:rsidRDefault="00794720" w:rsidP="007655BA">
            <w:pPr>
              <w:keepNext/>
              <w:tabs>
                <w:tab w:val="left" w:pos="1780"/>
              </w:tabs>
              <w:spacing w:after="120"/>
              <w:ind w:right="94" w:firstLine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47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Лв.</w:t>
            </w:r>
          </w:p>
        </w:tc>
        <w:tc>
          <w:tcPr>
            <w:tcW w:w="1276" w:type="dxa"/>
            <w:vAlign w:val="center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  <w:r w:rsidRPr="0079472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778 000,00</w:t>
            </w:r>
          </w:p>
        </w:tc>
        <w:tc>
          <w:tcPr>
            <w:tcW w:w="1559" w:type="dxa"/>
            <w:vAlign w:val="center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  <w:r w:rsidRPr="0079472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1 177 500,00</w:t>
            </w:r>
          </w:p>
        </w:tc>
        <w:tc>
          <w:tcPr>
            <w:tcW w:w="2126" w:type="dxa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47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База данни на МИГ; Документи на проектите, отчети на бенефициентите, протоколи от извършени проверки</w:t>
            </w:r>
          </w:p>
        </w:tc>
      </w:tr>
      <w:tr w:rsidR="00794720" w:rsidRPr="003135FD" w:rsidTr="00482AED">
        <w:tc>
          <w:tcPr>
            <w:tcW w:w="1253" w:type="dxa"/>
            <w:vMerge w:val="restart"/>
            <w:vAlign w:val="center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47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Резултат</w:t>
            </w:r>
          </w:p>
        </w:tc>
        <w:tc>
          <w:tcPr>
            <w:tcW w:w="2824" w:type="dxa"/>
            <w:vAlign w:val="center"/>
          </w:tcPr>
          <w:p w:rsidR="00794720" w:rsidRPr="00794720" w:rsidRDefault="00794720" w:rsidP="007655BA">
            <w:pPr>
              <w:spacing w:after="120"/>
              <w:jc w:val="both"/>
              <w:rPr>
                <w:rFonts w:ascii="Times New Roman" w:eastAsia="MS Mincho" w:hAnsi="Times New Roman" w:cs="Times New Roman"/>
                <w:sz w:val="20"/>
                <w:szCs w:val="20"/>
                <w:highlight w:val="yellow"/>
                <w:lang w:eastAsia="bg-BG"/>
              </w:rPr>
            </w:pPr>
            <w:r w:rsidRPr="0079472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bg-BG"/>
              </w:rPr>
              <w:t>Населени места, които се ползват от подобрените услуги</w:t>
            </w:r>
          </w:p>
        </w:tc>
        <w:tc>
          <w:tcPr>
            <w:tcW w:w="1276" w:type="dxa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47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47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59" w:type="dxa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94720" w:rsidRPr="00794720" w:rsidRDefault="00FC1BAE" w:rsidP="007655B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C1BA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  <w:t>6</w:t>
            </w:r>
          </w:p>
        </w:tc>
        <w:tc>
          <w:tcPr>
            <w:tcW w:w="2126" w:type="dxa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47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Документи на проектите, отчети на бенефициентите, </w:t>
            </w:r>
          </w:p>
        </w:tc>
      </w:tr>
      <w:tr w:rsidR="00794720" w:rsidRPr="003135FD" w:rsidTr="00482AED">
        <w:tc>
          <w:tcPr>
            <w:tcW w:w="1253" w:type="dxa"/>
            <w:vMerge/>
            <w:vAlign w:val="center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24" w:type="dxa"/>
            <w:vAlign w:val="center"/>
          </w:tcPr>
          <w:p w:rsidR="00794720" w:rsidRPr="00794720" w:rsidRDefault="00794720" w:rsidP="007655B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9472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bg-BG"/>
              </w:rPr>
              <w:t>Население, което се ползва от подобрената среда</w:t>
            </w:r>
          </w:p>
        </w:tc>
        <w:tc>
          <w:tcPr>
            <w:tcW w:w="1276" w:type="dxa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47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% от населението на територията</w:t>
            </w:r>
          </w:p>
        </w:tc>
        <w:tc>
          <w:tcPr>
            <w:tcW w:w="1276" w:type="dxa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47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50%</w:t>
            </w:r>
          </w:p>
        </w:tc>
        <w:tc>
          <w:tcPr>
            <w:tcW w:w="1559" w:type="dxa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47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50%</w:t>
            </w:r>
          </w:p>
        </w:tc>
        <w:tc>
          <w:tcPr>
            <w:tcW w:w="2126" w:type="dxa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47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База данни на МИГ Документи на проектите</w:t>
            </w:r>
          </w:p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94720" w:rsidRPr="003135FD" w:rsidTr="00482AED">
        <w:tc>
          <w:tcPr>
            <w:tcW w:w="1253" w:type="dxa"/>
            <w:vMerge/>
            <w:vAlign w:val="center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24" w:type="dxa"/>
            <w:vAlign w:val="center"/>
          </w:tcPr>
          <w:p w:rsidR="00794720" w:rsidRPr="00794720" w:rsidRDefault="00794720" w:rsidP="007655BA">
            <w:pPr>
              <w:spacing w:after="120"/>
              <w:jc w:val="both"/>
              <w:rPr>
                <w:rFonts w:ascii="Times New Roman" w:eastAsia="MS Mincho" w:hAnsi="Times New Roman" w:cs="Times New Roman"/>
                <w:sz w:val="20"/>
                <w:szCs w:val="20"/>
                <w:highlight w:val="yellow"/>
                <w:lang w:eastAsia="bg-BG"/>
              </w:rPr>
            </w:pPr>
            <w:r w:rsidRPr="007947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 създадени нови услуги</w:t>
            </w:r>
          </w:p>
        </w:tc>
        <w:tc>
          <w:tcPr>
            <w:tcW w:w="1276" w:type="dxa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47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47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59" w:type="dxa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47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26" w:type="dxa"/>
          </w:tcPr>
          <w:p w:rsidR="00794720" w:rsidRPr="00794720" w:rsidRDefault="00794720" w:rsidP="007655B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47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База данни на МИГ; Досиета на проектите Протоколи от извършени проверки</w:t>
            </w:r>
          </w:p>
        </w:tc>
      </w:tr>
    </w:tbl>
    <w:p w:rsidR="00482EBA" w:rsidRDefault="00482EBA" w:rsidP="006A1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9F8" w:rsidRPr="00955AA8" w:rsidRDefault="004139F8" w:rsidP="004139F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955AA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.1.</w:t>
      </w:r>
      <w:r w:rsidRPr="00955A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Промени в </w:t>
      </w:r>
      <w:r w:rsidRPr="00955AA8">
        <w:rPr>
          <w:rFonts w:ascii="Times New Roman" w:hAnsi="Times New Roman" w:cs="Times New Roman"/>
          <w:b/>
          <w:sz w:val="24"/>
          <w:szCs w:val="24"/>
          <w:u w:val="single"/>
        </w:rPr>
        <w:t>изходните индикатори и индикаторите за резултат произтичащи от увеличаването на бюджетна на СВОМР.</w:t>
      </w:r>
    </w:p>
    <w:p w:rsidR="004139F8" w:rsidRDefault="004139F8" w:rsidP="004139F8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06D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Правно основание: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r w:rsidRPr="00581C2A">
        <w:rPr>
          <w:rFonts w:ascii="Times New Roman" w:hAnsi="Times New Roman" w:cs="Times New Roman"/>
          <w:sz w:val="24"/>
          <w:szCs w:val="24"/>
        </w:rPr>
        <w:t>Предложените промени</w:t>
      </w:r>
      <w:r w:rsidRPr="00032683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са допустими и</w:t>
      </w:r>
      <w:r w:rsidRPr="00581C2A">
        <w:rPr>
          <w:rFonts w:ascii="Times New Roman" w:hAnsi="Times New Roman" w:cs="Times New Roman"/>
          <w:sz w:val="24"/>
          <w:szCs w:val="24"/>
        </w:rPr>
        <w:t xml:space="preserve"> се извършват на основание чл. 39, т. 1 </w:t>
      </w:r>
      <w:r w:rsidRPr="00CE30EB">
        <w:rPr>
          <w:rFonts w:ascii="Times New Roman" w:hAnsi="Times New Roman" w:cs="Times New Roman"/>
          <w:sz w:val="24"/>
          <w:szCs w:val="24"/>
        </w:rPr>
        <w:t xml:space="preserve">от Наредба №22 от 14.12.2015 г. за прилагане на Подмярка 19.2. от ПРСР 2014 – 2020 г. </w:t>
      </w:r>
      <w:r w:rsidRPr="00581C2A">
        <w:rPr>
          <w:rFonts w:ascii="Times New Roman" w:hAnsi="Times New Roman" w:cs="Times New Roman"/>
          <w:i/>
          <w:sz w:val="24"/>
          <w:szCs w:val="24"/>
        </w:rPr>
        <w:t>„След подписване на споразумението промяна в стратегията за ВОМР се допуска само: 1. във връзка с промяна на приложимата нормативна уредба и/или във връзка с промяна на съответната програма;“</w:t>
      </w:r>
      <w:r w:rsidR="00955123" w:rsidRPr="00955123">
        <w:rPr>
          <w:rFonts w:ascii="Times New Roman" w:hAnsi="Times New Roman" w:cs="Times New Roman"/>
          <w:sz w:val="24"/>
          <w:szCs w:val="24"/>
        </w:rPr>
        <w:t xml:space="preserve"> Във връзка с изменение на Програмата за развитие на селски</w:t>
      </w:r>
      <w:r w:rsidR="00955123">
        <w:rPr>
          <w:rFonts w:ascii="Times New Roman" w:hAnsi="Times New Roman" w:cs="Times New Roman"/>
          <w:sz w:val="24"/>
          <w:szCs w:val="24"/>
        </w:rPr>
        <w:t xml:space="preserve">те райони 2014-2020 г., </w:t>
      </w:r>
      <w:r w:rsidR="00955123" w:rsidRPr="00955123">
        <w:rPr>
          <w:rFonts w:ascii="Times New Roman" w:hAnsi="Times New Roman" w:cs="Times New Roman"/>
          <w:sz w:val="24"/>
          <w:szCs w:val="24"/>
        </w:rPr>
        <w:t>се осигурява допълнително финансиране по подхода ВОМР за увеличаване бюджета на изпълняващите се стратегии с до 799</w:t>
      </w:r>
      <w:r w:rsidR="00483AB8">
        <w:rPr>
          <w:rFonts w:ascii="Times New Roman" w:hAnsi="Times New Roman" w:cs="Times New Roman"/>
          <w:sz w:val="24"/>
          <w:szCs w:val="24"/>
        </w:rPr>
        <w:t> </w:t>
      </w:r>
      <w:r w:rsidR="00955123" w:rsidRPr="00955123">
        <w:rPr>
          <w:rFonts w:ascii="Times New Roman" w:hAnsi="Times New Roman" w:cs="Times New Roman"/>
          <w:sz w:val="24"/>
          <w:szCs w:val="24"/>
        </w:rPr>
        <w:t>000</w:t>
      </w:r>
      <w:r w:rsidR="00483AB8">
        <w:rPr>
          <w:rFonts w:ascii="Times New Roman" w:hAnsi="Times New Roman" w:cs="Times New Roman"/>
          <w:sz w:val="24"/>
          <w:szCs w:val="24"/>
        </w:rPr>
        <w:t>,00</w:t>
      </w:r>
      <w:r w:rsidR="00955123" w:rsidRPr="00955123">
        <w:rPr>
          <w:rFonts w:ascii="Times New Roman" w:hAnsi="Times New Roman" w:cs="Times New Roman"/>
          <w:sz w:val="24"/>
          <w:szCs w:val="24"/>
        </w:rPr>
        <w:t xml:space="preserve"> лв. по подмярка 19.2 „Прилагане на операции в рамките на стратегии за Водено от общностите местно развитие“ и с до 114</w:t>
      </w:r>
      <w:r w:rsidR="00483AB8">
        <w:rPr>
          <w:rFonts w:ascii="Times New Roman" w:hAnsi="Times New Roman" w:cs="Times New Roman"/>
          <w:sz w:val="24"/>
          <w:szCs w:val="24"/>
        </w:rPr>
        <w:t> </w:t>
      </w:r>
      <w:r w:rsidR="00955123" w:rsidRPr="00955123">
        <w:rPr>
          <w:rFonts w:ascii="Times New Roman" w:hAnsi="Times New Roman" w:cs="Times New Roman"/>
          <w:sz w:val="24"/>
          <w:szCs w:val="24"/>
        </w:rPr>
        <w:t>000</w:t>
      </w:r>
      <w:r w:rsidR="00483AB8">
        <w:rPr>
          <w:rFonts w:ascii="Times New Roman" w:hAnsi="Times New Roman" w:cs="Times New Roman"/>
          <w:sz w:val="24"/>
          <w:szCs w:val="24"/>
        </w:rPr>
        <w:t>,00</w:t>
      </w:r>
      <w:r w:rsidR="00955123" w:rsidRPr="00955123">
        <w:rPr>
          <w:rFonts w:ascii="Times New Roman" w:hAnsi="Times New Roman" w:cs="Times New Roman"/>
          <w:sz w:val="24"/>
          <w:szCs w:val="24"/>
        </w:rPr>
        <w:t xml:space="preserve"> лв. по подмярка 19.4 „Текущи разходи и популяри</w:t>
      </w:r>
      <w:r w:rsidR="00955123">
        <w:rPr>
          <w:rFonts w:ascii="Times New Roman" w:hAnsi="Times New Roman" w:cs="Times New Roman"/>
          <w:sz w:val="24"/>
          <w:szCs w:val="24"/>
        </w:rPr>
        <w:t>зиране на стратегии за ВОМР“. В резултат на извършените промени в бюджета се извършват промени и в индикаторите по СВОМР.</w:t>
      </w:r>
    </w:p>
    <w:p w:rsidR="00794720" w:rsidRDefault="00820B93" w:rsidP="00820B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B93">
        <w:rPr>
          <w:rFonts w:ascii="Times New Roman" w:hAnsi="Times New Roman" w:cs="Times New Roman"/>
          <w:b/>
          <w:sz w:val="24"/>
          <w:szCs w:val="24"/>
        </w:rPr>
        <w:t>1. Обосновка:</w:t>
      </w:r>
      <w:r>
        <w:rPr>
          <w:rFonts w:ascii="Times New Roman" w:hAnsi="Times New Roman" w:cs="Times New Roman"/>
          <w:sz w:val="24"/>
          <w:szCs w:val="24"/>
        </w:rPr>
        <w:t xml:space="preserve"> В изходен индикатор </w:t>
      </w:r>
      <w:r w:rsidRPr="00820B93">
        <w:rPr>
          <w:rFonts w:ascii="Times New Roman" w:hAnsi="Times New Roman" w:cs="Times New Roman"/>
          <w:b/>
          <w:i/>
          <w:sz w:val="24"/>
          <w:szCs w:val="24"/>
        </w:rPr>
        <w:t>„Брой проекти, финансирани по мярката“</w:t>
      </w:r>
      <w:r>
        <w:rPr>
          <w:rFonts w:ascii="Times New Roman" w:hAnsi="Times New Roman" w:cs="Times New Roman"/>
          <w:sz w:val="24"/>
          <w:szCs w:val="24"/>
        </w:rPr>
        <w:t xml:space="preserve"> е заложена целева стойност минимум 4. В следствие на увеличаването на бюджета по подмярка 7.2. целевата стойност на индикатора се увеличава на „минимум 5“. Към момента по подмярка 7.2. са договорирани  3 проекта на стойност 98,48% от разполагаемия бюджет. С увеличаване на бюджета на подмярка 7.2. с 399</w:t>
      </w:r>
      <w:r w:rsidR="00C9308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500</w:t>
      </w:r>
      <w:r w:rsidR="00C9308A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лв. ще бъдат финансирани минимум нови две проекти предложения.</w:t>
      </w:r>
    </w:p>
    <w:p w:rsidR="00820B93" w:rsidRDefault="00820B93" w:rsidP="00820B9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  <w:r w:rsidRPr="00820B93">
        <w:rPr>
          <w:rFonts w:ascii="Times New Roman" w:hAnsi="Times New Roman" w:cs="Times New Roman"/>
          <w:b/>
          <w:sz w:val="24"/>
          <w:szCs w:val="24"/>
        </w:rPr>
        <w:t>2. Обосновка:</w:t>
      </w:r>
      <w:r>
        <w:rPr>
          <w:rFonts w:ascii="Times New Roman" w:hAnsi="Times New Roman" w:cs="Times New Roman"/>
          <w:sz w:val="24"/>
          <w:szCs w:val="24"/>
        </w:rPr>
        <w:t xml:space="preserve"> В изходен индикатор </w:t>
      </w:r>
      <w:r w:rsidRPr="00D92CC4">
        <w:rPr>
          <w:rFonts w:ascii="Times New Roman" w:hAnsi="Times New Roman" w:cs="Times New Roman"/>
          <w:b/>
          <w:i/>
          <w:sz w:val="24"/>
          <w:szCs w:val="24"/>
        </w:rPr>
        <w:t>„Общ обем на инвестициите“</w:t>
      </w:r>
      <w:r w:rsidRPr="00482EBA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стойността се променя от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778</w:t>
      </w:r>
      <w:r w:rsidR="00320A2A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 </w:t>
      </w:r>
      <w:r w:rsidRPr="00D92CC4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000</w:t>
      </w:r>
      <w:r w:rsidR="00320A2A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,00</w:t>
      </w:r>
      <w:r w:rsidRPr="00D92CC4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 xml:space="preserve"> лв.</w:t>
      </w:r>
      <w:r w:rsidRPr="00D92CC4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на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1 177</w:t>
      </w:r>
      <w:r w:rsidRPr="00D92CC4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 xml:space="preserve"> 500,00 лв.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Промяната се извършва заради увеличаването бюджета на мярка 7.2. с 399</w:t>
      </w:r>
      <w:r w:rsidR="00320A2A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 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500</w:t>
      </w:r>
      <w:r w:rsidR="00320A2A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,00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лв. в следствие на изменението на ПРСР 2014 – 2020 г.</w:t>
      </w:r>
    </w:p>
    <w:p w:rsidR="007219DE" w:rsidRDefault="00556BE3" w:rsidP="003F5165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  <w:r w:rsidRPr="00556BE3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3. Обосновка: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В индикатор за резултат </w:t>
      </w:r>
      <w:r w:rsidRPr="00556BE3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EFEFE"/>
        </w:rPr>
        <w:t>„Населени места, които се ползват от подобрените услуги“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е заложена целева стойност 5. </w:t>
      </w:r>
      <w:r w:rsidRPr="00556BE3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В следствие на увеличаването на бюджета </w:t>
      </w:r>
      <w:r w:rsidRPr="00556BE3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lastRenderedPageBreak/>
        <w:t>по подмярка 7.2. целевата стойност на индик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атора се увеличава на „6</w:t>
      </w:r>
      <w:r w:rsidRPr="00556BE3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“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. </w:t>
      </w:r>
      <w:r w:rsidRPr="00556BE3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С увеличаване на бюджета на подмярка 7.2. с 399</w:t>
      </w:r>
      <w:r w:rsidR="0035450B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 </w:t>
      </w:r>
      <w:r w:rsidRPr="00556BE3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500</w:t>
      </w:r>
      <w:r w:rsidR="0035450B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,00</w:t>
      </w:r>
      <w:r w:rsidRPr="00556BE3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лв. ще бъдат финансирани миним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ум нови две проекти предложения, което ще разшири обхвата на населените места, които се ползват от подобрени услуги. </w:t>
      </w:r>
    </w:p>
    <w:p w:rsidR="00CF1127" w:rsidRDefault="00CF1127" w:rsidP="003F5165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  <w:bookmarkStart w:id="0" w:name="_GoBack"/>
      <w:bookmarkEnd w:id="0"/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3"/>
      </w:tblGrid>
      <w:tr w:rsidR="00CF1127" w:rsidTr="00A21B0A">
        <w:tc>
          <w:tcPr>
            <w:tcW w:w="10063" w:type="dxa"/>
            <w:shd w:val="clear" w:color="auto" w:fill="D9D9D9" w:themeFill="background1" w:themeFillShade="D9"/>
          </w:tcPr>
          <w:p w:rsidR="00CF1127" w:rsidRDefault="00CF1127" w:rsidP="00A21B0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27" w:rsidRDefault="00CF1127" w:rsidP="00A21B0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E">
              <w:rPr>
                <w:rFonts w:ascii="Times New Roman" w:hAnsi="Times New Roman" w:cs="Times New Roman"/>
                <w:sz w:val="24"/>
                <w:szCs w:val="24"/>
              </w:rPr>
              <w:t xml:space="preserve">Всички заинтересовани страни имат възможност да отправят своите коментари и предложения относно планираните промени, в срок до 17:30 ч. на 19.05.2021 г., на електронна поща </w:t>
            </w:r>
            <w:hyperlink r:id="rId15" w:history="1">
              <w:r w:rsidRPr="00A67C0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migb_bd@abv.bg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1EE">
              <w:rPr>
                <w:rFonts w:ascii="Times New Roman" w:hAnsi="Times New Roman" w:cs="Times New Roman"/>
                <w:sz w:val="24"/>
                <w:szCs w:val="24"/>
              </w:rPr>
              <w:t>или писмено, лично в офиса на СНЦ  „МИГ Брезово, Братя Даскалови“ на адрес гр. Брезово, ул. „Георги Димитров“ № 25.</w:t>
            </w:r>
          </w:p>
          <w:p w:rsidR="00CF1127" w:rsidRDefault="00CF1127" w:rsidP="00A21B0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127" w:rsidRPr="003F5165" w:rsidRDefault="00CF1127" w:rsidP="003F5165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</w:p>
    <w:p w:rsidR="003135FD" w:rsidRDefault="003135FD" w:rsidP="006A1B7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5165" w:rsidRDefault="003F5165" w:rsidP="006A1B7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5165" w:rsidRDefault="003F5165" w:rsidP="006A1B7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1DC5" w:rsidRPr="00691DC5" w:rsidRDefault="00691DC5" w:rsidP="006A1B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1DC5" w:rsidRPr="00691DC5" w:rsidSect="00032683">
      <w:footerReference w:type="default" r:id="rId16"/>
      <w:pgSz w:w="12240" w:h="15840"/>
      <w:pgMar w:top="993" w:right="900" w:bottom="851" w:left="141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FA" w:rsidRDefault="009C0AFA" w:rsidP="006A1B7C">
      <w:pPr>
        <w:spacing w:after="0" w:line="240" w:lineRule="auto"/>
      </w:pPr>
      <w:r>
        <w:separator/>
      </w:r>
    </w:p>
  </w:endnote>
  <w:endnote w:type="continuationSeparator" w:id="0">
    <w:p w:rsidR="009C0AFA" w:rsidRDefault="009C0AFA" w:rsidP="006A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6603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655BA" w:rsidRPr="00D02A40" w:rsidRDefault="007655BA">
        <w:pPr>
          <w:pStyle w:val="Footer"/>
          <w:jc w:val="right"/>
          <w:rPr>
            <w:rFonts w:ascii="Times New Roman" w:hAnsi="Times New Roman" w:cs="Times New Roman"/>
          </w:rPr>
        </w:pPr>
        <w:r w:rsidRPr="00D02A40">
          <w:rPr>
            <w:rFonts w:ascii="Times New Roman" w:hAnsi="Times New Roman" w:cs="Times New Roman"/>
          </w:rPr>
          <w:fldChar w:fldCharType="begin"/>
        </w:r>
        <w:r w:rsidRPr="00D02A40">
          <w:rPr>
            <w:rFonts w:ascii="Times New Roman" w:hAnsi="Times New Roman" w:cs="Times New Roman"/>
          </w:rPr>
          <w:instrText xml:space="preserve"> PAGE   \* MERGEFORMAT </w:instrText>
        </w:r>
        <w:r w:rsidRPr="00D02A40">
          <w:rPr>
            <w:rFonts w:ascii="Times New Roman" w:hAnsi="Times New Roman" w:cs="Times New Roman"/>
          </w:rPr>
          <w:fldChar w:fldCharType="separate"/>
        </w:r>
        <w:r w:rsidR="00F36101">
          <w:rPr>
            <w:rFonts w:ascii="Times New Roman" w:hAnsi="Times New Roman" w:cs="Times New Roman"/>
            <w:noProof/>
          </w:rPr>
          <w:t>13</w:t>
        </w:r>
        <w:r w:rsidRPr="00D02A4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655BA" w:rsidRDefault="007655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FA" w:rsidRDefault="009C0AFA" w:rsidP="006A1B7C">
      <w:pPr>
        <w:spacing w:after="0" w:line="240" w:lineRule="auto"/>
      </w:pPr>
      <w:r>
        <w:separator/>
      </w:r>
    </w:p>
  </w:footnote>
  <w:footnote w:type="continuationSeparator" w:id="0">
    <w:p w:rsidR="009C0AFA" w:rsidRDefault="009C0AFA" w:rsidP="006A1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88D"/>
    <w:multiLevelType w:val="hybridMultilevel"/>
    <w:tmpl w:val="5B509AB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29534D"/>
    <w:multiLevelType w:val="hybridMultilevel"/>
    <w:tmpl w:val="15C69D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A6066"/>
    <w:multiLevelType w:val="hybridMultilevel"/>
    <w:tmpl w:val="F5A667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A2A1E"/>
    <w:multiLevelType w:val="hybridMultilevel"/>
    <w:tmpl w:val="EFC60D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D20BC"/>
    <w:multiLevelType w:val="hybridMultilevel"/>
    <w:tmpl w:val="13A4FD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331C2"/>
    <w:multiLevelType w:val="hybridMultilevel"/>
    <w:tmpl w:val="7CA442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33868"/>
    <w:multiLevelType w:val="hybridMultilevel"/>
    <w:tmpl w:val="749887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60B8E"/>
    <w:multiLevelType w:val="hybridMultilevel"/>
    <w:tmpl w:val="060676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D4E77"/>
    <w:multiLevelType w:val="hybridMultilevel"/>
    <w:tmpl w:val="D4068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B03910"/>
    <w:multiLevelType w:val="hybridMultilevel"/>
    <w:tmpl w:val="BA501992"/>
    <w:lvl w:ilvl="0" w:tplc="0402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>
    <w:nsid w:val="49157281"/>
    <w:multiLevelType w:val="hybridMultilevel"/>
    <w:tmpl w:val="13E453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A4B19"/>
    <w:multiLevelType w:val="hybridMultilevel"/>
    <w:tmpl w:val="83B091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F0AD0"/>
    <w:multiLevelType w:val="hybridMultilevel"/>
    <w:tmpl w:val="1E0AC7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51D8D"/>
    <w:multiLevelType w:val="hybridMultilevel"/>
    <w:tmpl w:val="AED237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15532"/>
    <w:multiLevelType w:val="hybridMultilevel"/>
    <w:tmpl w:val="44E221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91BAF"/>
    <w:multiLevelType w:val="hybridMultilevel"/>
    <w:tmpl w:val="60B21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73FA9"/>
    <w:multiLevelType w:val="hybridMultilevel"/>
    <w:tmpl w:val="48D0E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C92B0B"/>
    <w:multiLevelType w:val="hybridMultilevel"/>
    <w:tmpl w:val="DFBCB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CA6BDA"/>
    <w:multiLevelType w:val="hybridMultilevel"/>
    <w:tmpl w:val="C456BD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8"/>
  </w:num>
  <w:num w:numId="5">
    <w:abstractNumId w:val="0"/>
  </w:num>
  <w:num w:numId="6">
    <w:abstractNumId w:val="17"/>
  </w:num>
  <w:num w:numId="7">
    <w:abstractNumId w:val="2"/>
  </w:num>
  <w:num w:numId="8">
    <w:abstractNumId w:val="16"/>
  </w:num>
  <w:num w:numId="9">
    <w:abstractNumId w:val="5"/>
  </w:num>
  <w:num w:numId="10">
    <w:abstractNumId w:val="12"/>
  </w:num>
  <w:num w:numId="11">
    <w:abstractNumId w:val="15"/>
  </w:num>
  <w:num w:numId="12">
    <w:abstractNumId w:val="1"/>
  </w:num>
  <w:num w:numId="13">
    <w:abstractNumId w:val="13"/>
  </w:num>
  <w:num w:numId="14">
    <w:abstractNumId w:val="18"/>
  </w:num>
  <w:num w:numId="15">
    <w:abstractNumId w:val="3"/>
  </w:num>
  <w:num w:numId="16">
    <w:abstractNumId w:val="9"/>
  </w:num>
  <w:num w:numId="17">
    <w:abstractNumId w:val="14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11"/>
    <w:rsid w:val="000042C3"/>
    <w:rsid w:val="00032683"/>
    <w:rsid w:val="00036E1B"/>
    <w:rsid w:val="00054A54"/>
    <w:rsid w:val="0006369E"/>
    <w:rsid w:val="000640A0"/>
    <w:rsid w:val="00097395"/>
    <w:rsid w:val="000B2550"/>
    <w:rsid w:val="000B277B"/>
    <w:rsid w:val="000C3F34"/>
    <w:rsid w:val="000D085B"/>
    <w:rsid w:val="000D1037"/>
    <w:rsid w:val="000E7D03"/>
    <w:rsid w:val="00101C87"/>
    <w:rsid w:val="00110E6A"/>
    <w:rsid w:val="0011363D"/>
    <w:rsid w:val="00147E00"/>
    <w:rsid w:val="00147E34"/>
    <w:rsid w:val="00161297"/>
    <w:rsid w:val="00176C0C"/>
    <w:rsid w:val="001902B4"/>
    <w:rsid w:val="001D6CFC"/>
    <w:rsid w:val="001D6DEA"/>
    <w:rsid w:val="001E2DC4"/>
    <w:rsid w:val="001E71EE"/>
    <w:rsid w:val="00220BD5"/>
    <w:rsid w:val="00225569"/>
    <w:rsid w:val="00234B71"/>
    <w:rsid w:val="0023577B"/>
    <w:rsid w:val="002404B9"/>
    <w:rsid w:val="0025491A"/>
    <w:rsid w:val="00262313"/>
    <w:rsid w:val="002639F4"/>
    <w:rsid w:val="002717A8"/>
    <w:rsid w:val="00273F99"/>
    <w:rsid w:val="00274D2D"/>
    <w:rsid w:val="0028549D"/>
    <w:rsid w:val="00292542"/>
    <w:rsid w:val="002941FE"/>
    <w:rsid w:val="002A27D6"/>
    <w:rsid w:val="002A544D"/>
    <w:rsid w:val="002B0A49"/>
    <w:rsid w:val="002C201A"/>
    <w:rsid w:val="002C3E10"/>
    <w:rsid w:val="002C5841"/>
    <w:rsid w:val="002D1235"/>
    <w:rsid w:val="002D5121"/>
    <w:rsid w:val="002E34F9"/>
    <w:rsid w:val="003135FD"/>
    <w:rsid w:val="00316836"/>
    <w:rsid w:val="00320A2A"/>
    <w:rsid w:val="003317C2"/>
    <w:rsid w:val="00340398"/>
    <w:rsid w:val="003440A3"/>
    <w:rsid w:val="00346441"/>
    <w:rsid w:val="00347FBF"/>
    <w:rsid w:val="00352602"/>
    <w:rsid w:val="003534C7"/>
    <w:rsid w:val="0035450B"/>
    <w:rsid w:val="003578BC"/>
    <w:rsid w:val="00370A43"/>
    <w:rsid w:val="00370E27"/>
    <w:rsid w:val="0037367B"/>
    <w:rsid w:val="00375870"/>
    <w:rsid w:val="00382B54"/>
    <w:rsid w:val="003906B7"/>
    <w:rsid w:val="003B02FA"/>
    <w:rsid w:val="003B4596"/>
    <w:rsid w:val="003B7F86"/>
    <w:rsid w:val="003C197C"/>
    <w:rsid w:val="003E3763"/>
    <w:rsid w:val="003F5165"/>
    <w:rsid w:val="004043F8"/>
    <w:rsid w:val="004139F8"/>
    <w:rsid w:val="00414589"/>
    <w:rsid w:val="00445466"/>
    <w:rsid w:val="00482AED"/>
    <w:rsid w:val="00482EBA"/>
    <w:rsid w:val="00483AB8"/>
    <w:rsid w:val="00487702"/>
    <w:rsid w:val="0049633D"/>
    <w:rsid w:val="004A0B72"/>
    <w:rsid w:val="004A6CA5"/>
    <w:rsid w:val="004A6E8F"/>
    <w:rsid w:val="004B0498"/>
    <w:rsid w:val="004C02CD"/>
    <w:rsid w:val="004C3944"/>
    <w:rsid w:val="004C64C9"/>
    <w:rsid w:val="004E11A9"/>
    <w:rsid w:val="004E6A44"/>
    <w:rsid w:val="004F6DBF"/>
    <w:rsid w:val="0051153D"/>
    <w:rsid w:val="005277E2"/>
    <w:rsid w:val="0054041D"/>
    <w:rsid w:val="00547028"/>
    <w:rsid w:val="00554011"/>
    <w:rsid w:val="00556BE3"/>
    <w:rsid w:val="00562F2E"/>
    <w:rsid w:val="00562F64"/>
    <w:rsid w:val="005632C0"/>
    <w:rsid w:val="0058099C"/>
    <w:rsid w:val="00581C2A"/>
    <w:rsid w:val="00585D3D"/>
    <w:rsid w:val="005876EA"/>
    <w:rsid w:val="005932B8"/>
    <w:rsid w:val="00594BB8"/>
    <w:rsid w:val="005976D4"/>
    <w:rsid w:val="005B711B"/>
    <w:rsid w:val="005C0D6F"/>
    <w:rsid w:val="005C221D"/>
    <w:rsid w:val="005D51C3"/>
    <w:rsid w:val="005E1565"/>
    <w:rsid w:val="005F6B00"/>
    <w:rsid w:val="00616EB6"/>
    <w:rsid w:val="00625232"/>
    <w:rsid w:val="00626D59"/>
    <w:rsid w:val="0063076F"/>
    <w:rsid w:val="006546A9"/>
    <w:rsid w:val="00660CF0"/>
    <w:rsid w:val="00667A7B"/>
    <w:rsid w:val="00675C41"/>
    <w:rsid w:val="006908E2"/>
    <w:rsid w:val="00691DC5"/>
    <w:rsid w:val="006954AA"/>
    <w:rsid w:val="00695FDF"/>
    <w:rsid w:val="006A1B7C"/>
    <w:rsid w:val="006A7F41"/>
    <w:rsid w:val="006C32EF"/>
    <w:rsid w:val="006D3FC0"/>
    <w:rsid w:val="006E5890"/>
    <w:rsid w:val="00704594"/>
    <w:rsid w:val="00714A20"/>
    <w:rsid w:val="007219DE"/>
    <w:rsid w:val="007225EC"/>
    <w:rsid w:val="00722E39"/>
    <w:rsid w:val="007231E1"/>
    <w:rsid w:val="00731D0C"/>
    <w:rsid w:val="00745A2C"/>
    <w:rsid w:val="00755B02"/>
    <w:rsid w:val="007571B6"/>
    <w:rsid w:val="0076043A"/>
    <w:rsid w:val="007655BA"/>
    <w:rsid w:val="0077205E"/>
    <w:rsid w:val="0077404D"/>
    <w:rsid w:val="00776E2D"/>
    <w:rsid w:val="00782C6C"/>
    <w:rsid w:val="00790606"/>
    <w:rsid w:val="00794720"/>
    <w:rsid w:val="007A64DD"/>
    <w:rsid w:val="007C53D9"/>
    <w:rsid w:val="007D1459"/>
    <w:rsid w:val="007D5C84"/>
    <w:rsid w:val="007F24EE"/>
    <w:rsid w:val="00800F6B"/>
    <w:rsid w:val="0080180C"/>
    <w:rsid w:val="00807418"/>
    <w:rsid w:val="00810C79"/>
    <w:rsid w:val="0081106D"/>
    <w:rsid w:val="00820B93"/>
    <w:rsid w:val="00832B96"/>
    <w:rsid w:val="00840958"/>
    <w:rsid w:val="00843549"/>
    <w:rsid w:val="008622E8"/>
    <w:rsid w:val="00863F5E"/>
    <w:rsid w:val="00873A76"/>
    <w:rsid w:val="008800A5"/>
    <w:rsid w:val="00883C58"/>
    <w:rsid w:val="00887340"/>
    <w:rsid w:val="008B1F7D"/>
    <w:rsid w:val="008B4C53"/>
    <w:rsid w:val="008D2FCD"/>
    <w:rsid w:val="008D5319"/>
    <w:rsid w:val="00907D08"/>
    <w:rsid w:val="00915F21"/>
    <w:rsid w:val="00925067"/>
    <w:rsid w:val="00926434"/>
    <w:rsid w:val="00926E18"/>
    <w:rsid w:val="00931BBC"/>
    <w:rsid w:val="009360D6"/>
    <w:rsid w:val="0094022D"/>
    <w:rsid w:val="00955123"/>
    <w:rsid w:val="00955AA8"/>
    <w:rsid w:val="00962DAD"/>
    <w:rsid w:val="009639F4"/>
    <w:rsid w:val="00966707"/>
    <w:rsid w:val="00967320"/>
    <w:rsid w:val="009731E6"/>
    <w:rsid w:val="009800C7"/>
    <w:rsid w:val="00982CB9"/>
    <w:rsid w:val="0099090C"/>
    <w:rsid w:val="00996B31"/>
    <w:rsid w:val="009A19EC"/>
    <w:rsid w:val="009B5524"/>
    <w:rsid w:val="009C0AFA"/>
    <w:rsid w:val="009C6D73"/>
    <w:rsid w:val="009D1247"/>
    <w:rsid w:val="009E1E09"/>
    <w:rsid w:val="009F1FA5"/>
    <w:rsid w:val="009F3DD6"/>
    <w:rsid w:val="009F6A63"/>
    <w:rsid w:val="009F7C98"/>
    <w:rsid w:val="00A01DE8"/>
    <w:rsid w:val="00A06968"/>
    <w:rsid w:val="00A10C36"/>
    <w:rsid w:val="00A1234D"/>
    <w:rsid w:val="00A21526"/>
    <w:rsid w:val="00A24FB3"/>
    <w:rsid w:val="00A32183"/>
    <w:rsid w:val="00A4192D"/>
    <w:rsid w:val="00A43AE1"/>
    <w:rsid w:val="00A44D86"/>
    <w:rsid w:val="00A61B54"/>
    <w:rsid w:val="00A61B71"/>
    <w:rsid w:val="00A62690"/>
    <w:rsid w:val="00A65BFA"/>
    <w:rsid w:val="00A70C69"/>
    <w:rsid w:val="00A81064"/>
    <w:rsid w:val="00A83910"/>
    <w:rsid w:val="00AD075D"/>
    <w:rsid w:val="00AE349B"/>
    <w:rsid w:val="00B06E9B"/>
    <w:rsid w:val="00B11B2A"/>
    <w:rsid w:val="00B47A30"/>
    <w:rsid w:val="00B536F6"/>
    <w:rsid w:val="00B65B3B"/>
    <w:rsid w:val="00B76704"/>
    <w:rsid w:val="00B80D11"/>
    <w:rsid w:val="00B81CA9"/>
    <w:rsid w:val="00BA2AE5"/>
    <w:rsid w:val="00BD0D0F"/>
    <w:rsid w:val="00BD4935"/>
    <w:rsid w:val="00BE5904"/>
    <w:rsid w:val="00BE5D42"/>
    <w:rsid w:val="00BE5EEC"/>
    <w:rsid w:val="00BF2499"/>
    <w:rsid w:val="00BF780C"/>
    <w:rsid w:val="00C1331C"/>
    <w:rsid w:val="00C1669D"/>
    <w:rsid w:val="00C2449C"/>
    <w:rsid w:val="00C34CB9"/>
    <w:rsid w:val="00C45DE9"/>
    <w:rsid w:val="00C470FE"/>
    <w:rsid w:val="00C51894"/>
    <w:rsid w:val="00C5346B"/>
    <w:rsid w:val="00C817A8"/>
    <w:rsid w:val="00C83AAC"/>
    <w:rsid w:val="00C86A85"/>
    <w:rsid w:val="00C87445"/>
    <w:rsid w:val="00C9308A"/>
    <w:rsid w:val="00C967D8"/>
    <w:rsid w:val="00CB233C"/>
    <w:rsid w:val="00CB3C02"/>
    <w:rsid w:val="00CC7537"/>
    <w:rsid w:val="00CD441A"/>
    <w:rsid w:val="00CE30EB"/>
    <w:rsid w:val="00CF1127"/>
    <w:rsid w:val="00D007B5"/>
    <w:rsid w:val="00D01A97"/>
    <w:rsid w:val="00D02A40"/>
    <w:rsid w:val="00D06130"/>
    <w:rsid w:val="00D12DC1"/>
    <w:rsid w:val="00D26329"/>
    <w:rsid w:val="00D44CD7"/>
    <w:rsid w:val="00D45F3B"/>
    <w:rsid w:val="00D61FD1"/>
    <w:rsid w:val="00D72330"/>
    <w:rsid w:val="00D76FB2"/>
    <w:rsid w:val="00D86BEB"/>
    <w:rsid w:val="00D92CC4"/>
    <w:rsid w:val="00D9498C"/>
    <w:rsid w:val="00D97025"/>
    <w:rsid w:val="00D97ADB"/>
    <w:rsid w:val="00DA030E"/>
    <w:rsid w:val="00DB2495"/>
    <w:rsid w:val="00DB28CC"/>
    <w:rsid w:val="00DB6D21"/>
    <w:rsid w:val="00DC7AD2"/>
    <w:rsid w:val="00DD0EA3"/>
    <w:rsid w:val="00DE75CE"/>
    <w:rsid w:val="00DF1FA4"/>
    <w:rsid w:val="00E10961"/>
    <w:rsid w:val="00E21620"/>
    <w:rsid w:val="00E24CCA"/>
    <w:rsid w:val="00E30EF3"/>
    <w:rsid w:val="00E3287C"/>
    <w:rsid w:val="00E33EA7"/>
    <w:rsid w:val="00E44989"/>
    <w:rsid w:val="00E75067"/>
    <w:rsid w:val="00E77FDB"/>
    <w:rsid w:val="00E8672D"/>
    <w:rsid w:val="00EB12BB"/>
    <w:rsid w:val="00EB2114"/>
    <w:rsid w:val="00EB7BED"/>
    <w:rsid w:val="00EC64FD"/>
    <w:rsid w:val="00ED33A1"/>
    <w:rsid w:val="00EF29D3"/>
    <w:rsid w:val="00F057DA"/>
    <w:rsid w:val="00F36101"/>
    <w:rsid w:val="00F3728A"/>
    <w:rsid w:val="00F46A7B"/>
    <w:rsid w:val="00F56A0C"/>
    <w:rsid w:val="00F56F9C"/>
    <w:rsid w:val="00F62A59"/>
    <w:rsid w:val="00F65288"/>
    <w:rsid w:val="00F724ED"/>
    <w:rsid w:val="00F76630"/>
    <w:rsid w:val="00F76670"/>
    <w:rsid w:val="00F911EE"/>
    <w:rsid w:val="00FB0A12"/>
    <w:rsid w:val="00FB18A6"/>
    <w:rsid w:val="00FB2CDA"/>
    <w:rsid w:val="00FC180A"/>
    <w:rsid w:val="00FC1BAE"/>
    <w:rsid w:val="00FC57AD"/>
    <w:rsid w:val="00FC6490"/>
    <w:rsid w:val="00FD6659"/>
    <w:rsid w:val="00FD7CE7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7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B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B7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6A1B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B7C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EA"/>
    <w:rPr>
      <w:rFonts w:ascii="Tahoma" w:hAnsi="Tahoma" w:cs="Tahoma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unhideWhenUsed/>
    <w:rsid w:val="00A839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5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A2C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A2C"/>
    <w:rPr>
      <w:b/>
      <w:bCs/>
      <w:sz w:val="20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7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B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B7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6A1B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B7C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EA"/>
    <w:rPr>
      <w:rFonts w:ascii="Tahoma" w:hAnsi="Tahoma" w:cs="Tahoma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unhideWhenUsed/>
    <w:rsid w:val="00A839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5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A2C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A2C"/>
    <w:rPr>
      <w:b/>
      <w:bCs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migb_bd@abv.bg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migb_bd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FD106-C8FA-483A-8973-982109AF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4816</Words>
  <Characters>27454</Characters>
  <Application>Microsoft Office Word</Application>
  <DocSecurity>0</DocSecurity>
  <Lines>228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Boyan Kostadinov</cp:lastModifiedBy>
  <cp:revision>5</cp:revision>
  <cp:lastPrinted>2021-06-02T14:31:00Z</cp:lastPrinted>
  <dcterms:created xsi:type="dcterms:W3CDTF">2021-06-02T14:26:00Z</dcterms:created>
  <dcterms:modified xsi:type="dcterms:W3CDTF">2021-06-02T14:32:00Z</dcterms:modified>
</cp:coreProperties>
</file>